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57" w:rsidRDefault="00AE4E57" w:rsidP="00AE4E57">
      <w:pPr>
        <w:pStyle w:val="Defaul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肿瘤医院</w:t>
      </w:r>
      <w:r w:rsidR="00B654BB" w:rsidRPr="00B654BB">
        <w:rPr>
          <w:b/>
          <w:sz w:val="28"/>
          <w:szCs w:val="28"/>
        </w:rPr>
        <w:t>智能化中药</w:t>
      </w:r>
      <w:r>
        <w:rPr>
          <w:rFonts w:hint="eastAsia"/>
          <w:b/>
          <w:sz w:val="28"/>
          <w:szCs w:val="28"/>
        </w:rPr>
        <w:t>颗粒剂加工（包装）项目要求</w:t>
      </w:r>
    </w:p>
    <w:p w:rsidR="00B654BB" w:rsidRPr="00B654BB" w:rsidRDefault="00B654BB" w:rsidP="00B654B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>智能化中药调剂系统，占地面积小，自动化程度高，利用电脑系统和医院</w:t>
      </w:r>
      <w:r>
        <w:rPr>
          <w:sz w:val="23"/>
          <w:szCs w:val="23"/>
        </w:rPr>
        <w:t xml:space="preserve">HIS </w:t>
      </w:r>
      <w:r>
        <w:rPr>
          <w:sz w:val="23"/>
          <w:szCs w:val="23"/>
        </w:rPr>
        <w:t>系统连接，方便查询和调剂，提高了医院药房规范化管理水平。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1"/>
        <w:rPr>
          <w:rFonts w:ascii="FangSong" w:eastAsia="FangSong" w:hAnsiTheme="minorHAnsi" w:cs="FangSong"/>
          <w:b/>
          <w:color w:val="000000"/>
          <w:sz w:val="30"/>
          <w:szCs w:val="30"/>
        </w:rPr>
      </w:pPr>
      <w:r w:rsidRPr="00B654BB">
        <w:rPr>
          <w:rFonts w:ascii="FangSong" w:eastAsia="FangSong" w:hAnsiTheme="minorHAnsi" w:cs="FangSong" w:hint="eastAsia"/>
          <w:b/>
          <w:color w:val="000000"/>
          <w:sz w:val="30"/>
          <w:szCs w:val="30"/>
        </w:rPr>
        <w:t>医院场地环境需求</w:t>
      </w:r>
    </w:p>
    <w:p w:rsid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、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设备尺寸：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1)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药柜尺寸：长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1674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；宽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440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；高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1800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2)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调剂台尺寸：长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2400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；宽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450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。包括显示器长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600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、调剂主机长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800</w:t>
      </w:r>
      <w:bookmarkStart w:id="0" w:name="_GoBack"/>
      <w:bookmarkEnd w:id="0"/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、封口机长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1000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3)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工作通道：宽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800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微软雅黑" w:hAnsi="微软雅黑" w:cs="微软雅黑" w:hint="eastAsia"/>
          <w:color w:val="000000"/>
          <w:sz w:val="23"/>
          <w:szCs w:val="23"/>
        </w:rPr>
        <w:t>（指药柜与调剂台之间的最小距离）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4)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其他附件：消毒柜、除湿机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5)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库存存储位置：根据现场实际空间设定</w:t>
      </w:r>
    </w:p>
    <w:p w:rsid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、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智能化中药</w:t>
      </w:r>
      <w:r w:rsidR="00AE4E57">
        <w:rPr>
          <w:rFonts w:ascii="FangSong" w:eastAsia="FangSong" w:hAnsiTheme="minorHAnsi" w:cs="FangSong" w:hint="eastAsia"/>
          <w:color w:val="000000"/>
          <w:sz w:val="23"/>
          <w:szCs w:val="23"/>
        </w:rPr>
        <w:t>颗粒剂加工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环境要求和硬件配套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1)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避免阳光直射，温湿度适宜的房间；</w:t>
      </w:r>
      <w:r>
        <w:rPr>
          <w:rFonts w:ascii="FangSong" w:eastAsia="FangSong" w:hAnsiTheme="minorHAnsi" w:cs="FangSong" w:hint="eastAsia"/>
          <w:color w:val="000000"/>
          <w:sz w:val="23"/>
          <w:szCs w:val="23"/>
        </w:rPr>
        <w:t>房间面积18——20平方米左右；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温度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18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℃至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28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℃之间；湿度在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50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％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RH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以下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2"/>
        <w:rPr>
          <w:rFonts w:ascii="Calibri" w:eastAsia="FangSong" w:hAnsi="Calibri" w:cs="Calibri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2)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电源要求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220V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市电，带接地线电源，塑铜线线径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2.5</w:t>
      </w:r>
      <w:r w:rsidRPr="00B654BB">
        <w:rPr>
          <w:rFonts w:ascii="宋体" w:eastAsia="宋体" w:hAnsi="宋体" w:cs="宋体" w:hint="eastAsia"/>
          <w:color w:val="000000"/>
          <w:sz w:val="23"/>
          <w:szCs w:val="23"/>
        </w:rPr>
        <w:t>㎜</w:t>
      </w:r>
      <w:r w:rsidRPr="00B654BB">
        <w:rPr>
          <w:rFonts w:ascii="Calibri" w:eastAsia="FangSong" w:hAnsi="Calibri" w:cs="Calibri"/>
          <w:color w:val="000000"/>
          <w:sz w:val="23"/>
          <w:szCs w:val="23"/>
        </w:rPr>
        <w:t>²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="Calibri" w:cs="FangSong"/>
          <w:color w:val="000000"/>
          <w:sz w:val="23"/>
          <w:szCs w:val="23"/>
        </w:rPr>
      </w:pPr>
      <w:r w:rsidRPr="00B654BB">
        <w:rPr>
          <w:rFonts w:ascii="FangSong" w:eastAsia="FangSong" w:hAnsi="Calibri" w:cs="FangSong"/>
          <w:color w:val="000000"/>
          <w:sz w:val="23"/>
          <w:szCs w:val="23"/>
        </w:rPr>
        <w:t xml:space="preserve">3) </w:t>
      </w:r>
      <w:r w:rsidRPr="00B654BB">
        <w:rPr>
          <w:rFonts w:ascii="FangSong" w:eastAsia="FangSong" w:hAnsi="Calibri" w:cs="FangSong" w:hint="eastAsia"/>
          <w:color w:val="000000"/>
          <w:sz w:val="23"/>
          <w:szCs w:val="23"/>
        </w:rPr>
        <w:t>附近有独立水源，与药房有一定间隔，不影响房间湿度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41"/>
        <w:rPr>
          <w:rFonts w:ascii="FangSong" w:eastAsia="FangSong" w:hAnsiTheme="minorHAnsi" w:cs="FangSong"/>
          <w:b/>
          <w:color w:val="000000"/>
          <w:sz w:val="30"/>
          <w:szCs w:val="30"/>
        </w:rPr>
      </w:pPr>
      <w:r w:rsidRPr="00B654BB">
        <w:rPr>
          <w:rFonts w:ascii="FangSong" w:eastAsia="FangSong" w:hAnsiTheme="minorHAnsi" w:cs="FangSong" w:hint="eastAsia"/>
          <w:b/>
          <w:color w:val="000000"/>
          <w:sz w:val="30"/>
          <w:szCs w:val="30"/>
        </w:rPr>
        <w:t>软件对接需求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1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、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医院自动化智能中药</w:t>
      </w:r>
      <w:r w:rsidR="00AE4E57">
        <w:rPr>
          <w:rFonts w:ascii="FangSong" w:eastAsia="FangSong" w:hAnsiTheme="minorHAnsi" w:cs="FangSong" w:hint="eastAsia"/>
          <w:color w:val="000000"/>
          <w:sz w:val="23"/>
          <w:szCs w:val="23"/>
        </w:rPr>
        <w:t>颗粒剂加工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软件对接安排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设备到位工程安装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——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提供专属设备工程师帮助医院进行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HIS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系统对接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——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调剂试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lastRenderedPageBreak/>
        <w:t>运行确保生产质量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——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工程师每月对端口和系统运行进行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次检查、维护，确保安全稳定。</w:t>
      </w:r>
    </w:p>
    <w:p w:rsidR="00B654BB" w:rsidRDefault="00B654BB" w:rsidP="00B654BB">
      <w:pPr>
        <w:widowControl w:val="0"/>
        <w:autoSpaceDE w:val="0"/>
        <w:autoSpaceDN w:val="0"/>
        <w:snapToGrid/>
        <w:spacing w:after="197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2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、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软件对接工作步骤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197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1)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向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HIS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开发商讲解接口调剂说明及传输电子处方数据格式要求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197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2)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配置药品编码转换表（既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HIS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码录入）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spacing w:after="197"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3)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网络配置</w:t>
      </w:r>
    </w:p>
    <w:p w:rsid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Theme="minorHAnsi" w:cs="FangSong"/>
          <w:color w:val="000000"/>
          <w:sz w:val="23"/>
          <w:szCs w:val="23"/>
        </w:rPr>
      </w:pP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 xml:space="preserve">4) 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安装调试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HIS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接口模块（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HIS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系统接口</w:t>
      </w:r>
      <w:r w:rsidRPr="00B654BB">
        <w:rPr>
          <w:rFonts w:ascii="FangSong" w:eastAsia="FangSong" w:hAnsiTheme="minorHAnsi" w:cs="FangSong"/>
          <w:color w:val="000000"/>
          <w:sz w:val="23"/>
          <w:szCs w:val="23"/>
        </w:rPr>
        <w:t>V7.0</w:t>
      </w:r>
      <w:r w:rsidRPr="00B654BB">
        <w:rPr>
          <w:rFonts w:ascii="FangSong" w:eastAsia="FangSong" w:hAnsiTheme="minorHAnsi" w:cs="FangSong" w:hint="eastAsia"/>
          <w:color w:val="000000"/>
          <w:sz w:val="23"/>
          <w:szCs w:val="23"/>
        </w:rPr>
        <w:t>）</w:t>
      </w:r>
    </w:p>
    <w:p w:rsidR="00B654BB" w:rsidRPr="00B654BB" w:rsidRDefault="00B654BB" w:rsidP="00B654BB">
      <w:pPr>
        <w:widowControl w:val="0"/>
        <w:autoSpaceDE w:val="0"/>
        <w:autoSpaceDN w:val="0"/>
        <w:snapToGrid/>
        <w:rPr>
          <w:rFonts w:ascii="FangSong" w:eastAsia="FangSong" w:hAnsiTheme="minorHAnsi" w:cs="FangSong"/>
          <w:color w:val="000000"/>
          <w:sz w:val="23"/>
          <w:szCs w:val="23"/>
        </w:rPr>
      </w:pPr>
      <w:r>
        <w:rPr>
          <w:rFonts w:ascii="FangSong" w:eastAsia="FangSong" w:hAnsiTheme="minorHAnsi" w:cs="FangSong" w:hint="eastAsia"/>
          <w:color w:val="000000"/>
          <w:sz w:val="23"/>
          <w:szCs w:val="23"/>
        </w:rPr>
        <w:t>3，人员配备：</w:t>
      </w:r>
      <w:r w:rsidR="00C442E9">
        <w:rPr>
          <w:rFonts w:ascii="FangSong" w:eastAsia="FangSong" w:hAnsiTheme="minorHAnsi" w:cs="FangSong" w:hint="eastAsia"/>
          <w:color w:val="000000"/>
          <w:sz w:val="23"/>
          <w:szCs w:val="23"/>
        </w:rPr>
        <w:t>调剂</w:t>
      </w:r>
      <w:r>
        <w:rPr>
          <w:rFonts w:ascii="FangSong" w:eastAsia="FangSong" w:hAnsiTheme="minorHAnsi" w:cs="FangSong" w:hint="eastAsia"/>
          <w:color w:val="000000"/>
          <w:sz w:val="23"/>
          <w:szCs w:val="23"/>
        </w:rPr>
        <w:t>员2名</w:t>
      </w:r>
      <w:r>
        <w:rPr>
          <w:rFonts w:ascii="FangSong" w:eastAsia="FangSong" w:hAnsi="Calibri" w:cs="FangSong" w:hint="eastAsia"/>
          <w:color w:val="000000"/>
          <w:sz w:val="23"/>
          <w:szCs w:val="23"/>
        </w:rPr>
        <w:t>’</w:t>
      </w:r>
      <w:r w:rsidR="00C442E9">
        <w:rPr>
          <w:rFonts w:ascii="FangSong" w:eastAsia="FangSong" w:hAnsi="Calibri" w:cs="FangSong" w:hint="eastAsia"/>
          <w:color w:val="000000"/>
          <w:sz w:val="23"/>
          <w:szCs w:val="23"/>
        </w:rPr>
        <w:t>工程师1名</w:t>
      </w:r>
    </w:p>
    <w:sectPr w:rsidR="00B654BB" w:rsidRPr="00B654B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2010609060101010101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8DDD"/>
    <w:multiLevelType w:val="hybridMultilevel"/>
    <w:tmpl w:val="748C929D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0D0B44"/>
    <w:multiLevelType w:val="hybridMultilevel"/>
    <w:tmpl w:val="BA2829EB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CD877C"/>
    <w:multiLevelType w:val="hybridMultilevel"/>
    <w:tmpl w:val="7D4D9DEA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54BB"/>
    <w:rsid w:val="00323B43"/>
    <w:rsid w:val="003D37D8"/>
    <w:rsid w:val="004358AB"/>
    <w:rsid w:val="006154A8"/>
    <w:rsid w:val="006505D8"/>
    <w:rsid w:val="008B7726"/>
    <w:rsid w:val="008E3588"/>
    <w:rsid w:val="00AE4E57"/>
    <w:rsid w:val="00B654BB"/>
    <w:rsid w:val="00C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4B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吴懿俊</cp:lastModifiedBy>
  <cp:revision>2</cp:revision>
  <dcterms:created xsi:type="dcterms:W3CDTF">2018-08-21T00:42:00Z</dcterms:created>
  <dcterms:modified xsi:type="dcterms:W3CDTF">2018-08-27T05:28:00Z</dcterms:modified>
</cp:coreProperties>
</file>