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EC955" w14:textId="77777777" w:rsidR="00135E11" w:rsidRDefault="00376AF9">
      <w:pPr>
        <w:pStyle w:val="1"/>
        <w:jc w:val="center"/>
      </w:pPr>
      <w:bookmarkStart w:id="0" w:name="_Toc298138829"/>
      <w:r>
        <w:rPr>
          <w:rFonts w:ascii="宋体" w:hAnsi="宋体" w:hint="eastAsia"/>
        </w:rPr>
        <w:t>招标技术要求</w:t>
      </w:r>
    </w:p>
    <w:p w14:paraId="35DE8697" w14:textId="77777777" w:rsidR="00135E11" w:rsidRDefault="00376AF9">
      <w:pPr>
        <w:numPr>
          <w:ilvl w:val="0"/>
          <w:numId w:val="3"/>
        </w:numPr>
        <w:spacing w:line="360" w:lineRule="auto"/>
        <w:outlineLvl w:val="0"/>
        <w:rPr>
          <w:rFonts w:ascii="宋体" w:hAnsi="宋体"/>
          <w:color w:val="000000"/>
          <w:sz w:val="24"/>
        </w:rPr>
      </w:pPr>
      <w:r>
        <w:rPr>
          <w:rFonts w:hint="eastAsia"/>
          <w:sz w:val="24"/>
        </w:rPr>
        <w:t>招标内容：复旦大学附属肿瘤医院</w:t>
      </w:r>
      <w:r w:rsidR="00CB33DD" w:rsidRPr="00CB33DD">
        <w:rPr>
          <w:rFonts w:hint="eastAsia"/>
          <w:sz w:val="24"/>
          <w:highlight w:val="yellow"/>
        </w:rPr>
        <w:t>核酸检测</w:t>
      </w:r>
      <w:r w:rsidRPr="00CB33DD">
        <w:rPr>
          <w:rFonts w:hint="eastAsia"/>
          <w:sz w:val="24"/>
          <w:highlight w:val="yellow"/>
        </w:rPr>
        <w:t>项目</w:t>
      </w:r>
      <w:r>
        <w:rPr>
          <w:rFonts w:hint="eastAsia"/>
          <w:sz w:val="24"/>
        </w:rPr>
        <w:t>外送检测服务项目。</w:t>
      </w:r>
    </w:p>
    <w:p w14:paraId="34DE17FD" w14:textId="77777777" w:rsidR="00135E11" w:rsidRDefault="00376AF9">
      <w:pPr>
        <w:numPr>
          <w:ilvl w:val="0"/>
          <w:numId w:val="3"/>
        </w:numPr>
        <w:spacing w:line="360" w:lineRule="auto"/>
        <w:outlineLvl w:val="0"/>
        <w:rPr>
          <w:rFonts w:ascii="宋体" w:hAnsi="宋体"/>
          <w:color w:val="000000"/>
          <w:sz w:val="24"/>
        </w:rPr>
      </w:pPr>
      <w:r>
        <w:rPr>
          <w:rFonts w:ascii="宋体" w:hAnsi="宋体" w:hint="eastAsia"/>
          <w:color w:val="000000"/>
          <w:sz w:val="24"/>
        </w:rPr>
        <w:t>项目实施期限：</w:t>
      </w:r>
      <w:r w:rsidR="00CB33DD">
        <w:rPr>
          <w:rFonts w:ascii="宋体" w:hAnsi="宋体" w:hint="eastAsia"/>
          <w:color w:val="000000"/>
          <w:sz w:val="24"/>
          <w:highlight w:val="yellow"/>
        </w:rPr>
        <w:t>按医院要求</w:t>
      </w:r>
      <w:r>
        <w:rPr>
          <w:rFonts w:ascii="宋体" w:hAnsi="宋体" w:hint="eastAsia"/>
          <w:color w:val="000000"/>
          <w:sz w:val="24"/>
        </w:rPr>
        <w:t>。</w:t>
      </w:r>
    </w:p>
    <w:p w14:paraId="474B032D" w14:textId="77777777" w:rsidR="00135E11" w:rsidRDefault="00376AF9">
      <w:pPr>
        <w:numPr>
          <w:ilvl w:val="0"/>
          <w:numId w:val="3"/>
        </w:numPr>
        <w:spacing w:line="360" w:lineRule="auto"/>
        <w:outlineLvl w:val="0"/>
        <w:rPr>
          <w:rFonts w:ascii="宋体" w:hAnsi="宋体"/>
          <w:color w:val="000000"/>
          <w:sz w:val="24"/>
        </w:rPr>
      </w:pPr>
      <w:r>
        <w:rPr>
          <w:rFonts w:ascii="宋体" w:hAnsi="宋体" w:hint="eastAsia"/>
          <w:color w:val="000000"/>
          <w:sz w:val="24"/>
        </w:rPr>
        <w:t>交货地：复旦大学附属肿瘤医院。</w:t>
      </w:r>
    </w:p>
    <w:p w14:paraId="23C5AD04" w14:textId="77777777" w:rsidR="00135E11" w:rsidRDefault="00376AF9">
      <w:pPr>
        <w:numPr>
          <w:ilvl w:val="0"/>
          <w:numId w:val="4"/>
        </w:numPr>
        <w:spacing w:line="360" w:lineRule="auto"/>
        <w:outlineLvl w:val="0"/>
        <w:rPr>
          <w:rFonts w:ascii="宋体" w:hAnsi="宋体"/>
          <w:color w:val="000000"/>
          <w:sz w:val="24"/>
        </w:rPr>
      </w:pPr>
      <w:r>
        <w:rPr>
          <w:rFonts w:ascii="宋体" w:hAnsi="宋体" w:hint="eastAsia"/>
          <w:color w:val="000000"/>
          <w:sz w:val="24"/>
        </w:rPr>
        <w:t xml:space="preserve">  检测项目：检验项目外送检测服务项目。</w:t>
      </w:r>
    </w:p>
    <w:p w14:paraId="718B39DB" w14:textId="77777777" w:rsidR="00135E11" w:rsidRDefault="00376AF9">
      <w:pPr>
        <w:spacing w:line="360" w:lineRule="auto"/>
        <w:outlineLvl w:val="0"/>
        <w:rPr>
          <w:rFonts w:ascii="宋体" w:hAnsi="宋体" w:cs="宋体"/>
          <w:color w:val="000000"/>
          <w:sz w:val="24"/>
        </w:rPr>
      </w:pPr>
      <w:r>
        <w:rPr>
          <w:rFonts w:ascii="宋体" w:hAnsi="宋体" w:hint="eastAsia"/>
          <w:color w:val="000000"/>
          <w:sz w:val="24"/>
        </w:rPr>
        <w:t>五、</w:t>
      </w:r>
      <w:r>
        <w:rPr>
          <w:rFonts w:ascii="宋体" w:hAnsi="宋体" w:hint="eastAsia"/>
          <w:color w:val="000000"/>
          <w:sz w:val="24"/>
        </w:rPr>
        <w:tab/>
      </w:r>
      <w:r w:rsidRPr="0031519E">
        <w:rPr>
          <w:rFonts w:ascii="宋体" w:hAnsi="宋体" w:hint="eastAsia"/>
          <w:color w:val="000000"/>
          <w:sz w:val="24"/>
          <w:highlight w:val="yellow"/>
        </w:rPr>
        <w:t>报价方式：</w:t>
      </w:r>
      <w:r>
        <w:rPr>
          <w:rFonts w:ascii="宋体" w:hAnsi="宋体" w:hint="eastAsia"/>
          <w:color w:val="000000"/>
          <w:sz w:val="24"/>
        </w:rPr>
        <w:t>招标方负责向病人收取病人检验费，投标方按照检验</w:t>
      </w:r>
      <w:r>
        <w:rPr>
          <w:rFonts w:ascii="宋体" w:hAnsi="宋体" w:cs="宋体" w:hint="eastAsia"/>
          <w:color w:val="000000"/>
          <w:sz w:val="24"/>
        </w:rPr>
        <w:t>项目最新版本的上海市收费标准的收费比例进行报价。</w:t>
      </w:r>
    </w:p>
    <w:p w14:paraId="05378ABC" w14:textId="77777777" w:rsidR="00135E11" w:rsidRDefault="00376AF9">
      <w:pPr>
        <w:spacing w:line="360" w:lineRule="auto"/>
        <w:outlineLvl w:val="0"/>
        <w:rPr>
          <w:rFonts w:ascii="宋体" w:hAnsi="宋体" w:cs="宋体"/>
          <w:color w:val="000000"/>
          <w:sz w:val="24"/>
        </w:rPr>
      </w:pPr>
      <w:r>
        <w:rPr>
          <w:rFonts w:ascii="宋体" w:hAnsi="宋体" w:cs="宋体" w:hint="eastAsia"/>
          <w:color w:val="000000"/>
          <w:sz w:val="24"/>
        </w:rPr>
        <w:t>六、   服务要求</w:t>
      </w:r>
    </w:p>
    <w:p w14:paraId="3ED211A8" w14:textId="77777777" w:rsidR="00135E11" w:rsidRDefault="00376AF9">
      <w:pPr>
        <w:pStyle w:val="2"/>
        <w:numPr>
          <w:ilvl w:val="1"/>
          <w:numId w:val="0"/>
        </w:numPr>
        <w:rPr>
          <w:rFonts w:ascii="宋体" w:hAnsi="宋体" w:cs="宋体"/>
          <w:sz w:val="24"/>
        </w:rPr>
      </w:pPr>
      <w:r>
        <w:rPr>
          <w:rFonts w:ascii="宋体" w:hAnsi="宋体" w:cs="宋体" w:hint="eastAsia"/>
        </w:rPr>
        <w:t xml:space="preserve">1. </w:t>
      </w:r>
      <w:r>
        <w:rPr>
          <w:rFonts w:ascii="宋体" w:hAnsi="宋体" w:cs="宋体" w:hint="eastAsia"/>
          <w:sz w:val="24"/>
        </w:rPr>
        <w:t>样本运输</w:t>
      </w:r>
    </w:p>
    <w:p w14:paraId="1BFC3F30" w14:textId="77777777" w:rsidR="00135E11" w:rsidRDefault="00376AF9">
      <w:pPr>
        <w:pStyle w:val="7"/>
        <w:numPr>
          <w:ilvl w:val="6"/>
          <w:numId w:val="0"/>
        </w:numPr>
        <w:ind w:leftChars="-3" w:left="714" w:hangingChars="300" w:hanging="720"/>
        <w:rPr>
          <w:rFonts w:ascii="宋体" w:hAnsi="宋体" w:cs="宋体"/>
          <w:sz w:val="24"/>
        </w:rPr>
      </w:pPr>
      <w:r>
        <w:rPr>
          <w:rFonts w:ascii="宋体" w:hAnsi="宋体" w:cs="宋体" w:hint="eastAsia"/>
          <w:sz w:val="24"/>
        </w:rPr>
        <w:t>1.1   样本运输车辆、冷链物流：安排专车上门收取标本，全程冷链运输；</w:t>
      </w:r>
    </w:p>
    <w:p w14:paraId="3710D028" w14:textId="77777777" w:rsidR="00135E11" w:rsidRDefault="00376AF9">
      <w:pPr>
        <w:ind w:left="720" w:hangingChars="300" w:hanging="720"/>
        <w:rPr>
          <w:rFonts w:ascii="宋体" w:hAnsi="宋体" w:cs="宋体"/>
        </w:rPr>
      </w:pPr>
      <w:r>
        <w:rPr>
          <w:rFonts w:ascii="宋体" w:hAnsi="宋体" w:cs="宋体" w:hint="eastAsia"/>
          <w:sz w:val="24"/>
        </w:rPr>
        <w:t>1.2   加急样本运输：当招标方出现加急样本需要运输时，投标方需要满足4小时内上门收取样本；</w:t>
      </w:r>
    </w:p>
    <w:p w14:paraId="1B0E5F75" w14:textId="77777777" w:rsidR="00135E11" w:rsidRDefault="00376AF9">
      <w:pPr>
        <w:pStyle w:val="7"/>
        <w:numPr>
          <w:ilvl w:val="6"/>
          <w:numId w:val="0"/>
        </w:numPr>
        <w:ind w:leftChars="-3" w:left="714" w:hangingChars="300" w:hanging="720"/>
        <w:rPr>
          <w:rFonts w:ascii="宋体" w:hAnsi="宋体" w:cs="宋体"/>
          <w:sz w:val="24"/>
        </w:rPr>
      </w:pPr>
      <w:r>
        <w:rPr>
          <w:rFonts w:ascii="宋体" w:hAnsi="宋体" w:cs="宋体" w:hint="eastAsia"/>
          <w:sz w:val="24"/>
        </w:rPr>
        <w:t>1.3   标本接收操作：有专门标本接收操作制度，需配备经专业培训合格的样本接收人员，以确保医疗标本运输安全。接收人员严格按照相关制度进行作业，降低生物危害风险；</w:t>
      </w:r>
    </w:p>
    <w:p w14:paraId="1170C594" w14:textId="77777777" w:rsidR="00135E11" w:rsidRDefault="00376AF9">
      <w:pPr>
        <w:pStyle w:val="7"/>
        <w:numPr>
          <w:ilvl w:val="6"/>
          <w:numId w:val="0"/>
        </w:numPr>
        <w:ind w:leftChars="-118" w:left="-248" w:firstLineChars="100" w:firstLine="240"/>
        <w:rPr>
          <w:rFonts w:ascii="宋体" w:hAnsi="宋体" w:cs="宋体"/>
          <w:sz w:val="24"/>
        </w:rPr>
      </w:pPr>
      <w:r>
        <w:rPr>
          <w:rFonts w:ascii="宋体" w:hAnsi="宋体" w:cs="宋体" w:hint="eastAsia"/>
          <w:sz w:val="24"/>
        </w:rPr>
        <w:t>1.4   服务频次：确保</w:t>
      </w:r>
      <w:r w:rsidR="00F50D98">
        <w:rPr>
          <w:rFonts w:ascii="宋体" w:hAnsi="宋体" w:cs="宋体" w:hint="eastAsia"/>
          <w:sz w:val="24"/>
        </w:rPr>
        <w:t>周一至周六</w:t>
      </w:r>
      <w:r>
        <w:rPr>
          <w:rFonts w:ascii="宋体" w:hAnsi="宋体" w:cs="宋体" w:hint="eastAsia"/>
          <w:sz w:val="24"/>
        </w:rPr>
        <w:t>安排专车专人收集</w:t>
      </w:r>
      <w:r w:rsidR="00F50D98">
        <w:rPr>
          <w:rFonts w:ascii="宋体" w:hAnsi="宋体" w:cs="宋体" w:hint="eastAsia"/>
          <w:sz w:val="24"/>
        </w:rPr>
        <w:t>（如遇其他紧急情况确保及时响应）</w:t>
      </w:r>
      <w:r>
        <w:rPr>
          <w:rFonts w:ascii="宋体" w:hAnsi="宋体" w:cs="宋体" w:hint="eastAsia"/>
          <w:sz w:val="24"/>
        </w:rPr>
        <w:t>；</w:t>
      </w:r>
    </w:p>
    <w:p w14:paraId="2E58697A" w14:textId="77777777" w:rsidR="00135E11" w:rsidRDefault="00376AF9">
      <w:pPr>
        <w:pStyle w:val="7"/>
        <w:numPr>
          <w:ilvl w:val="6"/>
          <w:numId w:val="0"/>
        </w:numPr>
        <w:ind w:leftChars="-3" w:left="714" w:hangingChars="300" w:hanging="720"/>
        <w:rPr>
          <w:rFonts w:ascii="宋体" w:hAnsi="宋体" w:cs="宋体"/>
          <w:sz w:val="24"/>
        </w:rPr>
      </w:pPr>
      <w:r>
        <w:rPr>
          <w:rFonts w:ascii="宋体" w:hAnsi="宋体" w:cs="宋体" w:hint="eastAsia"/>
          <w:sz w:val="24"/>
        </w:rPr>
        <w:t>1.5   样本信息：编制唯一识别的条码，作为复核、追踪的依据，保证信息的准确性；</w:t>
      </w:r>
    </w:p>
    <w:p w14:paraId="10D33554" w14:textId="77777777" w:rsidR="00135E11" w:rsidRDefault="00376AF9">
      <w:pPr>
        <w:ind w:left="720" w:hangingChars="300" w:hanging="720"/>
        <w:rPr>
          <w:sz w:val="24"/>
        </w:rPr>
      </w:pPr>
      <w:r>
        <w:rPr>
          <w:rFonts w:ascii="宋体" w:hAnsi="宋体" w:cs="宋体" w:hint="eastAsia"/>
          <w:sz w:val="24"/>
        </w:rPr>
        <w:t>1.6   专业样本接收箱：提供符合样本运输及保存要求的标本接收箱作为接收、周转的标本存放工具。可保证冷藏、冷冻、常温三种温度的运输要求，同时设有温度监视装置，实时监测箱内温度，保证样本检测前的运输质量控制</w:t>
      </w:r>
      <w:r>
        <w:rPr>
          <w:sz w:val="24"/>
        </w:rPr>
        <w:t>。</w:t>
      </w:r>
    </w:p>
    <w:p w14:paraId="11B1A059" w14:textId="77777777" w:rsidR="00135E11" w:rsidRDefault="00376AF9">
      <w:pPr>
        <w:pStyle w:val="2"/>
        <w:numPr>
          <w:ilvl w:val="1"/>
          <w:numId w:val="0"/>
        </w:numPr>
        <w:rPr>
          <w:sz w:val="24"/>
        </w:rPr>
      </w:pPr>
      <w:r>
        <w:rPr>
          <w:rFonts w:hint="eastAsia"/>
          <w:sz w:val="24"/>
        </w:rPr>
        <w:t xml:space="preserve">2. </w:t>
      </w:r>
      <w:r>
        <w:rPr>
          <w:sz w:val="24"/>
        </w:rPr>
        <w:t>实验室检测与质量控制</w:t>
      </w:r>
    </w:p>
    <w:p w14:paraId="66613F16" w14:textId="77777777" w:rsidR="00135E11" w:rsidRDefault="00376AF9">
      <w:pPr>
        <w:spacing w:line="360" w:lineRule="auto"/>
        <w:outlineLvl w:val="0"/>
      </w:pPr>
      <w:r>
        <w:rPr>
          <w:rFonts w:ascii="宋体" w:hAnsi="宋体" w:hint="eastAsia"/>
          <w:color w:val="000000"/>
          <w:sz w:val="24"/>
        </w:rPr>
        <w:t>2.1  需提供在有效期内的上海市临床检验中心颁发的PCR实验室验收合格证书；</w:t>
      </w:r>
    </w:p>
    <w:p w14:paraId="3BBE1725" w14:textId="77777777" w:rsidR="00135E11" w:rsidRDefault="00376AF9">
      <w:pPr>
        <w:pStyle w:val="7"/>
        <w:numPr>
          <w:ilvl w:val="6"/>
          <w:numId w:val="0"/>
        </w:numPr>
        <w:ind w:leftChars="-3" w:left="714" w:hangingChars="300" w:hanging="720"/>
        <w:rPr>
          <w:rFonts w:ascii="宋体" w:hAnsi="宋体" w:cs="宋体"/>
          <w:sz w:val="24"/>
        </w:rPr>
      </w:pPr>
      <w:r>
        <w:rPr>
          <w:rFonts w:ascii="宋体" w:hAnsi="宋体" w:cs="宋体" w:hint="eastAsia"/>
          <w:sz w:val="24"/>
        </w:rPr>
        <w:t>2.2  通过《医学实验室质量和能力认可准则 》（ISO15189）、通过美国CAP认证；</w:t>
      </w:r>
    </w:p>
    <w:p w14:paraId="068AAC5A" w14:textId="77777777" w:rsidR="00135E11" w:rsidRDefault="00376AF9">
      <w:pPr>
        <w:pStyle w:val="7"/>
        <w:numPr>
          <w:ilvl w:val="6"/>
          <w:numId w:val="0"/>
        </w:numPr>
        <w:ind w:leftChars="-118" w:left="-248" w:firstLineChars="100" w:firstLine="240"/>
        <w:rPr>
          <w:rFonts w:ascii="宋体" w:hAnsi="宋体" w:cs="宋体"/>
          <w:sz w:val="24"/>
        </w:rPr>
      </w:pPr>
      <w:r>
        <w:rPr>
          <w:rFonts w:ascii="宋体" w:hAnsi="宋体" w:cs="宋体" w:hint="eastAsia"/>
          <w:sz w:val="24"/>
        </w:rPr>
        <w:t>2.3  实验室质量负责人、技术负责人具备卫生技术专业资格，具有类似经验；</w:t>
      </w:r>
    </w:p>
    <w:p w14:paraId="1102BE3B" w14:textId="77777777" w:rsidR="00135E11" w:rsidRDefault="00376AF9">
      <w:pPr>
        <w:pStyle w:val="7"/>
        <w:numPr>
          <w:ilvl w:val="6"/>
          <w:numId w:val="0"/>
        </w:numPr>
        <w:ind w:leftChars="-3" w:left="714" w:hangingChars="300" w:hanging="720"/>
        <w:rPr>
          <w:rFonts w:ascii="宋体" w:hAnsi="宋体" w:cs="宋体"/>
          <w:sz w:val="24"/>
        </w:rPr>
      </w:pPr>
      <w:r>
        <w:rPr>
          <w:rFonts w:ascii="宋体" w:hAnsi="宋体" w:cs="宋体" w:hint="eastAsia"/>
          <w:sz w:val="24"/>
        </w:rPr>
        <w:t>2.4  规范操作：按CAP、ISO15189的有关要求完成相关项目检测方法和SOP的建立，实验操作严格按照SOP规范步骤实施；</w:t>
      </w:r>
    </w:p>
    <w:p w14:paraId="3148A67D" w14:textId="77777777" w:rsidR="00135E11" w:rsidRDefault="00376AF9">
      <w:pPr>
        <w:pStyle w:val="7"/>
        <w:numPr>
          <w:ilvl w:val="6"/>
          <w:numId w:val="0"/>
        </w:numPr>
        <w:ind w:leftChars="-3" w:left="714" w:hangingChars="300" w:hanging="720"/>
        <w:rPr>
          <w:sz w:val="24"/>
        </w:rPr>
      </w:pPr>
      <w:r>
        <w:rPr>
          <w:rFonts w:ascii="宋体" w:hAnsi="宋体" w:cs="宋体" w:hint="eastAsia"/>
          <w:sz w:val="24"/>
        </w:rPr>
        <w:t>2.5</w:t>
      </w:r>
      <w:r>
        <w:rPr>
          <w:rFonts w:hint="eastAsia"/>
          <w:sz w:val="24"/>
        </w:rPr>
        <w:t xml:space="preserve">  </w:t>
      </w:r>
      <w:r>
        <w:rPr>
          <w:sz w:val="24"/>
        </w:rPr>
        <w:t>复查、比对：可疑结果进行复核，并送</w:t>
      </w:r>
      <w:r>
        <w:rPr>
          <w:rFonts w:hint="eastAsia"/>
          <w:sz w:val="24"/>
        </w:rPr>
        <w:t>招标方指定</w:t>
      </w:r>
      <w:r>
        <w:rPr>
          <w:sz w:val="24"/>
        </w:rPr>
        <w:t>实验室进行比对，保证结果的</w:t>
      </w:r>
      <w:r>
        <w:rPr>
          <w:rFonts w:hint="eastAsia"/>
          <w:sz w:val="24"/>
        </w:rPr>
        <w:t xml:space="preserve">  </w:t>
      </w:r>
      <w:r>
        <w:rPr>
          <w:sz w:val="24"/>
        </w:rPr>
        <w:t>准确无误。</w:t>
      </w:r>
    </w:p>
    <w:p w14:paraId="4B27E712" w14:textId="77777777" w:rsidR="00135E11" w:rsidRDefault="00376AF9">
      <w:pPr>
        <w:pStyle w:val="7"/>
        <w:numPr>
          <w:ilvl w:val="6"/>
          <w:numId w:val="0"/>
        </w:numPr>
        <w:ind w:leftChars="-118" w:left="-248" w:firstLineChars="100" w:firstLine="240"/>
        <w:rPr>
          <w:rFonts w:ascii="宋体" w:hAnsi="宋体"/>
          <w:color w:val="000000"/>
          <w:sz w:val="24"/>
        </w:rPr>
      </w:pPr>
      <w:r>
        <w:rPr>
          <w:rFonts w:hint="eastAsia"/>
          <w:sz w:val="24"/>
        </w:rPr>
        <w:t xml:space="preserve">3. </w:t>
      </w:r>
      <w:r>
        <w:rPr>
          <w:rFonts w:ascii="宋体" w:hAnsi="宋体" w:hint="eastAsia"/>
          <w:color w:val="000000"/>
          <w:sz w:val="24"/>
        </w:rPr>
        <w:t>团队资质要求</w:t>
      </w:r>
      <w:r>
        <w:rPr>
          <w:rFonts w:ascii="宋体" w:hAnsi="宋体" w:hint="eastAsia"/>
          <w:color w:val="000000"/>
          <w:sz w:val="24"/>
        </w:rPr>
        <w:tab/>
      </w:r>
    </w:p>
    <w:p w14:paraId="54D87953" w14:textId="77777777" w:rsidR="00135E11" w:rsidRDefault="00376AF9">
      <w:pPr>
        <w:spacing w:line="360" w:lineRule="auto"/>
        <w:outlineLvl w:val="0"/>
        <w:rPr>
          <w:rFonts w:ascii="宋体" w:hAnsi="宋体"/>
          <w:color w:val="000000"/>
          <w:sz w:val="24"/>
        </w:rPr>
      </w:pPr>
      <w:r>
        <w:rPr>
          <w:rFonts w:ascii="宋体" w:hAnsi="宋体" w:hint="eastAsia"/>
          <w:color w:val="000000"/>
          <w:sz w:val="24"/>
        </w:rPr>
        <w:t>3.1 实验室人员≥50人</w:t>
      </w:r>
      <w:r>
        <w:rPr>
          <w:rFonts w:ascii="宋体" w:hAnsi="宋体" w:hint="eastAsia"/>
          <w:color w:val="000000"/>
          <w:sz w:val="24"/>
        </w:rPr>
        <w:tab/>
        <w:t>；</w:t>
      </w:r>
    </w:p>
    <w:p w14:paraId="0FB3528D" w14:textId="77777777" w:rsidR="00135E11" w:rsidRDefault="00376AF9">
      <w:pPr>
        <w:spacing w:line="360" w:lineRule="auto"/>
        <w:outlineLvl w:val="0"/>
        <w:rPr>
          <w:rFonts w:ascii="宋体" w:hAnsi="宋体"/>
          <w:color w:val="000000"/>
          <w:sz w:val="24"/>
        </w:rPr>
      </w:pPr>
      <w:r>
        <w:rPr>
          <w:rFonts w:ascii="宋体" w:hAnsi="宋体" w:hint="eastAsia"/>
          <w:color w:val="000000"/>
          <w:sz w:val="24"/>
        </w:rPr>
        <w:t>3.2 实验室主任：医学检验专业人员*1，职称：副高职称以上；学历博士及以上，</w:t>
      </w:r>
      <w:r>
        <w:rPr>
          <w:rFonts w:ascii="宋体" w:hAnsi="宋体" w:hint="eastAsia"/>
          <w:color w:val="000000"/>
          <w:sz w:val="24"/>
        </w:rPr>
        <w:lastRenderedPageBreak/>
        <w:t>提供相关学历及职称证明；</w:t>
      </w:r>
      <w:r>
        <w:rPr>
          <w:rFonts w:ascii="宋体" w:hAnsi="宋体" w:hint="eastAsia"/>
          <w:color w:val="000000"/>
          <w:sz w:val="24"/>
        </w:rPr>
        <w:tab/>
      </w:r>
    </w:p>
    <w:p w14:paraId="6D72A630" w14:textId="77777777" w:rsidR="00135E11" w:rsidRDefault="00376AF9">
      <w:pPr>
        <w:spacing w:line="360" w:lineRule="auto"/>
        <w:outlineLvl w:val="0"/>
        <w:rPr>
          <w:rFonts w:ascii="宋体" w:hAnsi="宋体"/>
          <w:color w:val="000000"/>
          <w:sz w:val="24"/>
        </w:rPr>
      </w:pPr>
      <w:r>
        <w:rPr>
          <w:rFonts w:ascii="宋体" w:hAnsi="宋体" w:hint="eastAsia"/>
          <w:color w:val="000000"/>
          <w:sz w:val="24"/>
        </w:rPr>
        <w:t>3.3 实验室成员：医学检验专业人员*50，提供相关学历及职称证明。</w:t>
      </w:r>
      <w:r>
        <w:rPr>
          <w:rFonts w:ascii="宋体" w:hAnsi="宋体" w:hint="eastAsia"/>
          <w:color w:val="000000"/>
          <w:sz w:val="24"/>
        </w:rPr>
        <w:tab/>
      </w:r>
    </w:p>
    <w:p w14:paraId="625E7DC4" w14:textId="77777777" w:rsidR="00135E11" w:rsidRDefault="00376AF9">
      <w:pPr>
        <w:spacing w:line="360" w:lineRule="auto"/>
        <w:outlineLvl w:val="0"/>
        <w:rPr>
          <w:rFonts w:ascii="宋体" w:hAnsi="宋体"/>
          <w:color w:val="000000"/>
          <w:sz w:val="24"/>
        </w:rPr>
      </w:pPr>
      <w:r>
        <w:rPr>
          <w:rFonts w:ascii="宋体" w:hAnsi="宋体" w:hint="eastAsia"/>
          <w:color w:val="000000"/>
          <w:sz w:val="24"/>
        </w:rPr>
        <w:t>4.主要技术条件</w:t>
      </w:r>
    </w:p>
    <w:p w14:paraId="5E0BABA2" w14:textId="77777777" w:rsidR="00135E11" w:rsidRDefault="00376AF9">
      <w:pPr>
        <w:spacing w:line="360" w:lineRule="auto"/>
        <w:outlineLvl w:val="0"/>
        <w:rPr>
          <w:rFonts w:ascii="宋体" w:hAnsi="宋体"/>
          <w:color w:val="000000"/>
          <w:sz w:val="24"/>
        </w:rPr>
      </w:pPr>
      <w:r>
        <w:rPr>
          <w:rFonts w:ascii="宋体" w:hAnsi="宋体" w:hint="eastAsia"/>
          <w:color w:val="000000"/>
          <w:sz w:val="24"/>
        </w:rPr>
        <w:t>4.1所有委托检测项目均开展室</w:t>
      </w:r>
      <w:proofErr w:type="gramStart"/>
      <w:r>
        <w:rPr>
          <w:rFonts w:ascii="宋体" w:hAnsi="宋体" w:hint="eastAsia"/>
          <w:color w:val="000000"/>
          <w:sz w:val="24"/>
        </w:rPr>
        <w:t>内质控并进行</w:t>
      </w:r>
      <w:proofErr w:type="gramEnd"/>
      <w:r>
        <w:rPr>
          <w:rFonts w:ascii="宋体" w:hAnsi="宋体" w:hint="eastAsia"/>
          <w:color w:val="000000"/>
          <w:sz w:val="24"/>
        </w:rPr>
        <w:t>实验室间比对；</w:t>
      </w:r>
    </w:p>
    <w:p w14:paraId="00C4411E" w14:textId="77777777" w:rsidR="00135E11" w:rsidRDefault="00376AF9">
      <w:pPr>
        <w:spacing w:line="360" w:lineRule="auto"/>
        <w:outlineLvl w:val="0"/>
        <w:rPr>
          <w:rFonts w:ascii="宋体" w:hAnsi="宋体"/>
          <w:color w:val="000000"/>
          <w:sz w:val="24"/>
        </w:rPr>
      </w:pPr>
      <w:r>
        <w:rPr>
          <w:rFonts w:ascii="宋体" w:hAnsi="宋体" w:hint="eastAsia"/>
          <w:color w:val="000000"/>
          <w:sz w:val="24"/>
        </w:rPr>
        <w:t>4.2所</w:t>
      </w:r>
      <w:proofErr w:type="gramStart"/>
      <w:r>
        <w:rPr>
          <w:rFonts w:ascii="宋体" w:hAnsi="宋体" w:hint="eastAsia"/>
          <w:color w:val="000000"/>
          <w:sz w:val="24"/>
        </w:rPr>
        <w:t>列委托</w:t>
      </w:r>
      <w:proofErr w:type="gramEnd"/>
      <w:r>
        <w:rPr>
          <w:rFonts w:ascii="宋体" w:hAnsi="宋体" w:hint="eastAsia"/>
          <w:color w:val="000000"/>
          <w:sz w:val="24"/>
        </w:rPr>
        <w:t>检测项目均能满足实施；</w:t>
      </w:r>
    </w:p>
    <w:p w14:paraId="0402D885" w14:textId="77777777" w:rsidR="00135E11" w:rsidRDefault="00376AF9">
      <w:pPr>
        <w:spacing w:line="360" w:lineRule="auto"/>
        <w:outlineLvl w:val="0"/>
        <w:rPr>
          <w:rFonts w:ascii="宋体" w:hAnsi="宋体"/>
          <w:color w:val="000000"/>
          <w:sz w:val="24"/>
        </w:rPr>
      </w:pPr>
      <w:r>
        <w:rPr>
          <w:rFonts w:ascii="宋体" w:hAnsi="宋体" w:hint="eastAsia"/>
          <w:color w:val="000000"/>
          <w:sz w:val="24"/>
        </w:rPr>
        <w:t>4.3数据传送：端口对接，所有数据互通；</w:t>
      </w:r>
    </w:p>
    <w:p w14:paraId="7C3917C4" w14:textId="77777777" w:rsidR="00135E11" w:rsidRDefault="00376AF9">
      <w:pPr>
        <w:numPr>
          <w:ilvl w:val="0"/>
          <w:numId w:val="5"/>
        </w:numPr>
        <w:spacing w:line="360" w:lineRule="auto"/>
        <w:outlineLvl w:val="0"/>
        <w:rPr>
          <w:rFonts w:ascii="宋体" w:hAnsi="宋体"/>
          <w:color w:val="000000"/>
          <w:sz w:val="24"/>
        </w:rPr>
      </w:pPr>
      <w:r>
        <w:rPr>
          <w:rFonts w:ascii="宋体" w:hAnsi="宋体" w:hint="eastAsia"/>
          <w:color w:val="000000"/>
          <w:sz w:val="24"/>
        </w:rPr>
        <w:t>保密条款</w:t>
      </w:r>
      <w:r>
        <w:rPr>
          <w:rFonts w:ascii="宋体" w:hAnsi="宋体" w:hint="eastAsia"/>
          <w:color w:val="000000"/>
          <w:sz w:val="24"/>
        </w:rPr>
        <w:tab/>
      </w:r>
    </w:p>
    <w:p w14:paraId="3551C168" w14:textId="77777777" w:rsidR="00135E11" w:rsidRDefault="00376AF9">
      <w:pPr>
        <w:spacing w:line="360" w:lineRule="auto"/>
        <w:outlineLvl w:val="0"/>
        <w:rPr>
          <w:rFonts w:ascii="宋体" w:hAnsi="宋体"/>
          <w:color w:val="000000"/>
          <w:sz w:val="24"/>
        </w:rPr>
      </w:pPr>
      <w:r>
        <w:rPr>
          <w:rFonts w:ascii="宋体" w:hAnsi="宋体" w:hint="eastAsia"/>
          <w:color w:val="000000"/>
          <w:sz w:val="24"/>
        </w:rPr>
        <w:t>5.1</w:t>
      </w:r>
      <w:r>
        <w:rPr>
          <w:rFonts w:ascii="宋体" w:hAnsi="宋体" w:hint="eastAsia"/>
          <w:color w:val="000000"/>
          <w:sz w:val="24"/>
        </w:rPr>
        <w:tab/>
        <w:t>投标方对在本协议有效期内从院方知悉的关于院方的经营信息、检验技术信息、患者信息等一切非公开的保密信息负有终身保密义务。未经院方书面同意，服务公司不得将上述信息泄露给任何第三方；</w:t>
      </w:r>
      <w:r>
        <w:rPr>
          <w:rFonts w:ascii="宋体" w:hAnsi="宋体" w:hint="eastAsia"/>
          <w:color w:val="000000"/>
          <w:sz w:val="24"/>
        </w:rPr>
        <w:tab/>
      </w:r>
    </w:p>
    <w:p w14:paraId="1C758F78" w14:textId="77777777" w:rsidR="00135E11" w:rsidRDefault="00376AF9">
      <w:pPr>
        <w:spacing w:line="360" w:lineRule="auto"/>
        <w:outlineLvl w:val="0"/>
        <w:rPr>
          <w:rFonts w:ascii="宋体" w:hAnsi="宋体"/>
          <w:color w:val="000000"/>
          <w:sz w:val="24"/>
        </w:rPr>
      </w:pPr>
      <w:r>
        <w:rPr>
          <w:rFonts w:ascii="宋体" w:hAnsi="宋体" w:hint="eastAsia"/>
          <w:color w:val="000000"/>
          <w:sz w:val="24"/>
        </w:rPr>
        <w:t>5.2</w:t>
      </w:r>
      <w:r>
        <w:rPr>
          <w:rFonts w:ascii="宋体" w:hAnsi="宋体" w:hint="eastAsia"/>
          <w:color w:val="000000"/>
          <w:sz w:val="24"/>
        </w:rPr>
        <w:tab/>
        <w:t>投标方有为院方保密的义务，在未经院方书面同意和授权前提下，投标方不得向任何其他单位或个人泄露院方委托检验的检测标本信息、检测项目、检验内容、检验结果；</w:t>
      </w:r>
      <w:r>
        <w:rPr>
          <w:rFonts w:ascii="宋体" w:hAnsi="宋体" w:hint="eastAsia"/>
          <w:color w:val="000000"/>
          <w:sz w:val="24"/>
        </w:rPr>
        <w:tab/>
      </w:r>
    </w:p>
    <w:p w14:paraId="650DBC84" w14:textId="77777777" w:rsidR="00135E11" w:rsidRDefault="00376AF9">
      <w:pPr>
        <w:spacing w:line="360" w:lineRule="auto"/>
        <w:outlineLvl w:val="0"/>
        <w:rPr>
          <w:rFonts w:ascii="宋体" w:hAnsi="宋体"/>
          <w:color w:val="000000"/>
          <w:sz w:val="24"/>
        </w:rPr>
      </w:pPr>
      <w:r>
        <w:rPr>
          <w:rFonts w:ascii="宋体" w:hAnsi="宋体" w:hint="eastAsia"/>
          <w:color w:val="000000"/>
          <w:sz w:val="24"/>
        </w:rPr>
        <w:t>5.3</w:t>
      </w:r>
      <w:r>
        <w:rPr>
          <w:rFonts w:ascii="宋体" w:hAnsi="宋体" w:hint="eastAsia"/>
          <w:color w:val="000000"/>
          <w:sz w:val="24"/>
        </w:rPr>
        <w:tab/>
        <w:t>剩余样本处理:如院方无召回需求，投标方按照国家及行业标准对样本进行保存，检验类原始样本保存7天后所有检测剩余标本根据《上海市医疗废品处理》规定，由投标方按照医疗废物进行处理。</w:t>
      </w:r>
    </w:p>
    <w:p w14:paraId="5B06108F" w14:textId="77777777" w:rsidR="00135E11" w:rsidRDefault="00376AF9">
      <w:pPr>
        <w:spacing w:line="360" w:lineRule="auto"/>
        <w:outlineLvl w:val="0"/>
        <w:rPr>
          <w:rFonts w:ascii="宋体" w:hAnsi="宋体"/>
          <w:color w:val="000000"/>
          <w:sz w:val="24"/>
        </w:rPr>
      </w:pPr>
      <w:r>
        <w:rPr>
          <w:rFonts w:ascii="宋体" w:hAnsi="宋体" w:hint="eastAsia"/>
          <w:color w:val="000000"/>
          <w:sz w:val="24"/>
        </w:rPr>
        <w:t>6. 检测要求</w:t>
      </w:r>
    </w:p>
    <w:p w14:paraId="12B61A6A" w14:textId="77777777" w:rsidR="00135E11" w:rsidRDefault="00376AF9">
      <w:pPr>
        <w:spacing w:line="360" w:lineRule="auto"/>
        <w:outlineLvl w:val="0"/>
        <w:rPr>
          <w:rFonts w:ascii="宋体" w:hAnsi="宋体"/>
          <w:color w:val="000000"/>
          <w:sz w:val="24"/>
        </w:rPr>
      </w:pPr>
      <w:r>
        <w:rPr>
          <w:rFonts w:ascii="宋体" w:hAnsi="宋体" w:hint="eastAsia"/>
          <w:color w:val="000000"/>
          <w:sz w:val="24"/>
        </w:rPr>
        <w:t>6.1 使用仪器设备先进、完善，按要求进行校准。</w:t>
      </w:r>
      <w:r>
        <w:rPr>
          <w:rFonts w:ascii="宋体" w:hAnsi="宋体" w:hint="eastAsia"/>
          <w:color w:val="000000"/>
          <w:sz w:val="24"/>
        </w:rPr>
        <w:tab/>
      </w:r>
    </w:p>
    <w:p w14:paraId="6F200D87" w14:textId="77777777" w:rsidR="00135E11" w:rsidRDefault="00376AF9">
      <w:pPr>
        <w:spacing w:line="360" w:lineRule="auto"/>
        <w:outlineLvl w:val="0"/>
        <w:rPr>
          <w:rFonts w:ascii="宋体" w:hAnsi="宋体"/>
          <w:color w:val="000000"/>
          <w:sz w:val="24"/>
        </w:rPr>
      </w:pPr>
      <w:r>
        <w:rPr>
          <w:rFonts w:ascii="宋体" w:hAnsi="宋体" w:hint="eastAsia"/>
          <w:color w:val="000000"/>
          <w:sz w:val="24"/>
        </w:rPr>
        <w:t>6.2 投标方应当依据合同开展检验，检验过程应当有可以溯源的记录。</w:t>
      </w:r>
    </w:p>
    <w:p w14:paraId="3BB3D6A6" w14:textId="77777777" w:rsidR="00135E11" w:rsidRDefault="00376AF9">
      <w:pPr>
        <w:spacing w:line="360" w:lineRule="auto"/>
        <w:outlineLvl w:val="0"/>
        <w:rPr>
          <w:rFonts w:ascii="宋体" w:hAnsi="宋体"/>
          <w:color w:val="000000"/>
          <w:sz w:val="24"/>
        </w:rPr>
      </w:pPr>
      <w:r>
        <w:rPr>
          <w:rFonts w:ascii="宋体" w:hAnsi="宋体" w:hint="eastAsia"/>
          <w:color w:val="000000"/>
          <w:sz w:val="24"/>
        </w:rPr>
        <w:t>7. 投标方开展委托检验，不得有以下行为：</w:t>
      </w:r>
      <w:r>
        <w:rPr>
          <w:rFonts w:ascii="宋体" w:hAnsi="宋体" w:hint="eastAsia"/>
          <w:color w:val="000000"/>
          <w:sz w:val="24"/>
        </w:rPr>
        <w:tab/>
      </w:r>
    </w:p>
    <w:p w14:paraId="7D3E79A4" w14:textId="77777777" w:rsidR="00135E11" w:rsidRDefault="00376AF9">
      <w:pPr>
        <w:spacing w:line="360" w:lineRule="auto"/>
        <w:outlineLvl w:val="0"/>
        <w:rPr>
          <w:rFonts w:ascii="宋体" w:hAnsi="宋体"/>
          <w:color w:val="000000"/>
          <w:sz w:val="24"/>
        </w:rPr>
      </w:pPr>
      <w:r>
        <w:rPr>
          <w:rFonts w:ascii="宋体" w:hAnsi="宋体" w:hint="eastAsia"/>
          <w:color w:val="000000"/>
          <w:sz w:val="24"/>
        </w:rPr>
        <w:t>7.1 超资质认定范围开展委托检验工作，超资质认定范围使用资质认定标识；</w:t>
      </w:r>
    </w:p>
    <w:p w14:paraId="60CD7286" w14:textId="77777777" w:rsidR="00135E11" w:rsidRDefault="00376AF9">
      <w:pPr>
        <w:spacing w:line="360" w:lineRule="auto"/>
        <w:outlineLvl w:val="0"/>
        <w:rPr>
          <w:rFonts w:ascii="宋体" w:hAnsi="宋体"/>
          <w:color w:val="000000"/>
          <w:sz w:val="24"/>
        </w:rPr>
      </w:pPr>
      <w:r>
        <w:rPr>
          <w:rFonts w:ascii="宋体" w:hAnsi="宋体" w:hint="eastAsia"/>
          <w:color w:val="000000"/>
          <w:sz w:val="24"/>
        </w:rPr>
        <w:t>7.2</w:t>
      </w:r>
      <w:r>
        <w:rPr>
          <w:rFonts w:ascii="宋体" w:hAnsi="宋体" w:hint="eastAsia"/>
          <w:color w:val="000000"/>
          <w:sz w:val="24"/>
        </w:rPr>
        <w:tab/>
        <w:t>伪造数据，出具虚假检验结果；</w:t>
      </w:r>
    </w:p>
    <w:p w14:paraId="44AF78E3" w14:textId="77777777" w:rsidR="00135E11" w:rsidRDefault="00376AF9">
      <w:pPr>
        <w:spacing w:line="360" w:lineRule="auto"/>
        <w:outlineLvl w:val="0"/>
        <w:rPr>
          <w:rFonts w:ascii="宋体" w:hAnsi="宋体"/>
          <w:color w:val="000000"/>
          <w:sz w:val="24"/>
        </w:rPr>
      </w:pPr>
      <w:r>
        <w:rPr>
          <w:rFonts w:ascii="宋体" w:hAnsi="宋体" w:hint="eastAsia"/>
          <w:color w:val="000000"/>
          <w:sz w:val="24"/>
        </w:rPr>
        <w:t>7.3 泄露委托方技术秘密、商业秘密；</w:t>
      </w:r>
    </w:p>
    <w:p w14:paraId="1ABD801F" w14:textId="77777777" w:rsidR="00135E11" w:rsidRDefault="00376AF9">
      <w:pPr>
        <w:spacing w:line="360" w:lineRule="auto"/>
        <w:outlineLvl w:val="0"/>
        <w:rPr>
          <w:rFonts w:ascii="宋体" w:hAnsi="宋体"/>
          <w:color w:val="000000"/>
          <w:sz w:val="24"/>
        </w:rPr>
      </w:pPr>
      <w:r>
        <w:rPr>
          <w:rFonts w:ascii="宋体" w:hAnsi="宋体" w:hint="eastAsia"/>
          <w:color w:val="000000"/>
          <w:sz w:val="24"/>
        </w:rPr>
        <w:t>7.4 其他违反法律、法规和规章的行为。</w:t>
      </w:r>
      <w:bookmarkEnd w:id="0"/>
    </w:p>
    <w:p w14:paraId="72E8EF10" w14:textId="77777777" w:rsidR="0031519E" w:rsidRDefault="0031519E" w:rsidP="0031519E">
      <w:pPr>
        <w:spacing w:line="360" w:lineRule="auto"/>
        <w:outlineLvl w:val="0"/>
        <w:rPr>
          <w:rFonts w:ascii="宋体" w:hAnsi="宋体" w:cs="宋体"/>
          <w:color w:val="000000"/>
          <w:sz w:val="24"/>
        </w:rPr>
      </w:pPr>
      <w:r>
        <w:rPr>
          <w:rFonts w:ascii="宋体" w:hAnsi="宋体" w:cs="宋体" w:hint="eastAsia"/>
          <w:color w:val="000000"/>
          <w:sz w:val="24"/>
        </w:rPr>
        <w:t>七、   其他基于此项目的服务方案（自行申报）</w:t>
      </w:r>
    </w:p>
    <w:p w14:paraId="6D2835CA" w14:textId="77777777" w:rsidR="00135E11" w:rsidRDefault="00135E11">
      <w:pPr>
        <w:spacing w:line="360" w:lineRule="auto"/>
        <w:outlineLvl w:val="0"/>
        <w:rPr>
          <w:rFonts w:ascii="宋体" w:hAnsi="宋体"/>
          <w:color w:val="000000"/>
          <w:sz w:val="24"/>
        </w:rPr>
      </w:pPr>
    </w:p>
    <w:p w14:paraId="3AA485B0" w14:textId="77777777" w:rsidR="00135E11" w:rsidRDefault="00135E11">
      <w:pPr>
        <w:spacing w:line="360" w:lineRule="auto"/>
        <w:outlineLvl w:val="0"/>
        <w:rPr>
          <w:rFonts w:ascii="宋体" w:hAnsi="宋体"/>
          <w:color w:val="000000"/>
          <w:sz w:val="24"/>
        </w:rPr>
      </w:pPr>
    </w:p>
    <w:sectPr w:rsidR="00135E1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7FEBC" w14:textId="77777777" w:rsidR="0077280D" w:rsidRDefault="0077280D">
      <w:r>
        <w:separator/>
      </w:r>
    </w:p>
  </w:endnote>
  <w:endnote w:type="continuationSeparator" w:id="0">
    <w:p w14:paraId="261E586A" w14:textId="77777777" w:rsidR="0077280D" w:rsidRDefault="0077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E6C04" w14:textId="77777777" w:rsidR="00135E11" w:rsidRDefault="00376AF9">
    <w:pPr>
      <w:pStyle w:val="a4"/>
    </w:pPr>
    <w:r>
      <w:rPr>
        <w:noProof/>
      </w:rPr>
      <mc:AlternateContent>
        <mc:Choice Requires="wps">
          <w:drawing>
            <wp:anchor distT="0" distB="0" distL="114300" distR="114300" simplePos="0" relativeHeight="251659264" behindDoc="0" locked="0" layoutInCell="1" allowOverlap="1" wp14:anchorId="73E0AFA8" wp14:editId="0DBFB22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227DC" w14:textId="77777777" w:rsidR="00135E11" w:rsidRDefault="00376AF9">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C66A4">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C66A4">
                              <w:rPr>
                                <w:noProof/>
                              </w:rPr>
                              <w:t>2</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E0AFA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E2227DC" w14:textId="77777777" w:rsidR="00135E11" w:rsidRDefault="00376AF9">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C66A4">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C66A4">
                        <w:rPr>
                          <w:noProof/>
                        </w:rPr>
                        <w:t>2</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3026D" w14:textId="77777777" w:rsidR="0077280D" w:rsidRDefault="0077280D">
      <w:r>
        <w:separator/>
      </w:r>
    </w:p>
  </w:footnote>
  <w:footnote w:type="continuationSeparator" w:id="0">
    <w:p w14:paraId="7911F2AF" w14:textId="77777777" w:rsidR="0077280D" w:rsidRDefault="00772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A7D23D"/>
    <w:multiLevelType w:val="singleLevel"/>
    <w:tmpl w:val="8EA7D23D"/>
    <w:lvl w:ilvl="0">
      <w:start w:val="4"/>
      <w:numFmt w:val="chineseCounting"/>
      <w:suff w:val="space"/>
      <w:lvlText w:val="%1、"/>
      <w:lvlJc w:val="left"/>
      <w:rPr>
        <w:rFonts w:hint="eastAsia"/>
      </w:rPr>
    </w:lvl>
  </w:abstractNum>
  <w:abstractNum w:abstractNumId="1" w15:restartNumberingAfterBreak="0">
    <w:nsid w:val="E7230CB7"/>
    <w:multiLevelType w:val="singleLevel"/>
    <w:tmpl w:val="E7230CB7"/>
    <w:lvl w:ilvl="0">
      <w:start w:val="5"/>
      <w:numFmt w:val="decimal"/>
      <w:suff w:val="space"/>
      <w:lvlText w:val="%1."/>
      <w:lvlJc w:val="left"/>
    </w:lvl>
  </w:abstractNum>
  <w:abstractNum w:abstractNumId="2" w15:restartNumberingAfterBreak="0">
    <w:nsid w:val="FFFFFFFB"/>
    <w:multiLevelType w:val="multilevel"/>
    <w:tmpl w:val="FFFFFFFB"/>
    <w:lvl w:ilvl="0">
      <w:start w:val="1"/>
      <w:numFmt w:val="decimal"/>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lvlText w:val="%1.%2.%3"/>
      <w:legacy w:legacy="1" w:legacySpace="255" w:legacyIndent="0"/>
      <w:lvlJc w:val="left"/>
      <w:rPr>
        <w:rFonts w:ascii="黑体" w:eastAsia="黑体" w:hint="eastAsia"/>
        <w:b w:val="0"/>
        <w:i w:val="0"/>
        <w:sz w:val="24"/>
      </w:rPr>
    </w:lvl>
    <w:lvl w:ilvl="3">
      <w:start w:val="1"/>
      <w:numFmt w:val="decimal"/>
      <w:lvlText w:val="%1.%2.%3.%4"/>
      <w:legacy w:legacy="1" w:legacySpace="255" w:legacyIndent="0"/>
      <w:lvlJc w:val="left"/>
      <w:rPr>
        <w:rFonts w:ascii="黑体" w:eastAsia="黑体" w:hint="eastAsia"/>
        <w:b w:val="0"/>
        <w:i w:val="0"/>
        <w:sz w:val="24"/>
      </w:rPr>
    </w:lvl>
    <w:lvl w:ilvl="4">
      <w:start w:val="1"/>
      <w:numFmt w:val="decimal"/>
      <w:lvlText w:val="%1.%2.%3.%4.%5"/>
      <w:legacy w:legacy="1" w:legacySpace="255" w:legacyIndent="0"/>
      <w:lvlJc w:val="left"/>
      <w:rPr>
        <w:rFonts w:ascii="黑体" w:eastAsia="黑体" w:hint="eastAsia"/>
        <w:b w:val="0"/>
        <w:i w:val="0"/>
        <w:sz w:val="24"/>
      </w:rPr>
    </w:lvl>
    <w:lvl w:ilvl="5">
      <w:start w:val="1"/>
      <w:numFmt w:val="decimal"/>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191" w:firstLine="0"/>
      </w:pPr>
      <w:rPr>
        <w:rFonts w:ascii="黑体" w:eastAsia="黑体" w:hint="eastAsia"/>
        <w:b w:val="0"/>
        <w:i w:val="0"/>
        <w:sz w:val="24"/>
        <w:lang w:val="en-US"/>
      </w:rPr>
    </w:lvl>
    <w:lvl w:ilvl="7">
      <w:start w:val="1"/>
      <w:numFmt w:val="lowerLetter"/>
      <w:lvlText w:val="（%8）"/>
      <w:legacy w:legacy="1" w:legacySpace="113" w:legacyIndent="0"/>
      <w:lvlJc w:val="left"/>
      <w:pPr>
        <w:ind w:left="1888" w:firstLine="0"/>
      </w:pPr>
      <w:rPr>
        <w:rFonts w:ascii="黑体" w:eastAsia="黑体" w:hint="eastAsia"/>
        <w:b w:val="0"/>
        <w:i w:val="0"/>
        <w:sz w:val="24"/>
      </w:rPr>
    </w:lvl>
    <w:lvl w:ilvl="8">
      <w:start w:val="1"/>
      <w:numFmt w:val="lowerRoman"/>
      <w:lvlText w:val="（%9）"/>
      <w:legacy w:legacy="1" w:legacySpace="113" w:legacyIndent="0"/>
      <w:lvlJc w:val="left"/>
      <w:pPr>
        <w:ind w:left="2591" w:firstLine="0"/>
      </w:pPr>
      <w:rPr>
        <w:rFonts w:ascii="黑体" w:eastAsia="黑体" w:hint="eastAsia"/>
        <w:b w:val="0"/>
        <w:i w:val="0"/>
        <w:sz w:val="24"/>
      </w:rPr>
    </w:lvl>
  </w:abstractNum>
  <w:abstractNum w:abstractNumId="3" w15:restartNumberingAfterBreak="0">
    <w:nsid w:val="491B5182"/>
    <w:multiLevelType w:val="multilevel"/>
    <w:tmpl w:val="491B518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81"/>
    <w:rsid w:val="00135E11"/>
    <w:rsid w:val="002406F3"/>
    <w:rsid w:val="0031519E"/>
    <w:rsid w:val="00376AF9"/>
    <w:rsid w:val="003E5CA0"/>
    <w:rsid w:val="005C66A4"/>
    <w:rsid w:val="00687581"/>
    <w:rsid w:val="0077280D"/>
    <w:rsid w:val="00BD68E1"/>
    <w:rsid w:val="00C24349"/>
    <w:rsid w:val="00CB33DD"/>
    <w:rsid w:val="00EC28A7"/>
    <w:rsid w:val="00F50D98"/>
    <w:rsid w:val="00F96F26"/>
    <w:rsid w:val="0167683C"/>
    <w:rsid w:val="02033AC5"/>
    <w:rsid w:val="022330AE"/>
    <w:rsid w:val="037D4652"/>
    <w:rsid w:val="04154EC3"/>
    <w:rsid w:val="0576027F"/>
    <w:rsid w:val="05B10592"/>
    <w:rsid w:val="05E330CC"/>
    <w:rsid w:val="07374237"/>
    <w:rsid w:val="075C4D3F"/>
    <w:rsid w:val="080B22FB"/>
    <w:rsid w:val="09261DB1"/>
    <w:rsid w:val="0B5D5D1E"/>
    <w:rsid w:val="0C8C2C66"/>
    <w:rsid w:val="0CBD2FCF"/>
    <w:rsid w:val="0CCE744A"/>
    <w:rsid w:val="0CD23C82"/>
    <w:rsid w:val="0D0A22BC"/>
    <w:rsid w:val="0E2D3349"/>
    <w:rsid w:val="0E4E67D0"/>
    <w:rsid w:val="0E5B7789"/>
    <w:rsid w:val="0F0F3D18"/>
    <w:rsid w:val="0F987A14"/>
    <w:rsid w:val="0FB340F3"/>
    <w:rsid w:val="10682A35"/>
    <w:rsid w:val="10C242ED"/>
    <w:rsid w:val="118360A9"/>
    <w:rsid w:val="11B21D3F"/>
    <w:rsid w:val="121E155F"/>
    <w:rsid w:val="122A7AB9"/>
    <w:rsid w:val="127D618D"/>
    <w:rsid w:val="12EA76C8"/>
    <w:rsid w:val="13C16E8D"/>
    <w:rsid w:val="14216453"/>
    <w:rsid w:val="14B34D4D"/>
    <w:rsid w:val="14B811BA"/>
    <w:rsid w:val="16134EE0"/>
    <w:rsid w:val="163D6443"/>
    <w:rsid w:val="16EC7798"/>
    <w:rsid w:val="17077564"/>
    <w:rsid w:val="172B3085"/>
    <w:rsid w:val="17B07587"/>
    <w:rsid w:val="18690261"/>
    <w:rsid w:val="193302AA"/>
    <w:rsid w:val="197D6E67"/>
    <w:rsid w:val="19820044"/>
    <w:rsid w:val="19880166"/>
    <w:rsid w:val="19D524BC"/>
    <w:rsid w:val="19F4068C"/>
    <w:rsid w:val="19F86200"/>
    <w:rsid w:val="1A340187"/>
    <w:rsid w:val="1A6044A4"/>
    <w:rsid w:val="1A641261"/>
    <w:rsid w:val="1DE824D2"/>
    <w:rsid w:val="1E1260A9"/>
    <w:rsid w:val="1E4B2E3E"/>
    <w:rsid w:val="1EA20F9B"/>
    <w:rsid w:val="1EB46D88"/>
    <w:rsid w:val="1F4135D3"/>
    <w:rsid w:val="21893962"/>
    <w:rsid w:val="22BD31DB"/>
    <w:rsid w:val="239A6BCA"/>
    <w:rsid w:val="2465465E"/>
    <w:rsid w:val="24E67632"/>
    <w:rsid w:val="25DF53AB"/>
    <w:rsid w:val="266622F2"/>
    <w:rsid w:val="282432A7"/>
    <w:rsid w:val="285941C8"/>
    <w:rsid w:val="294B47B6"/>
    <w:rsid w:val="295D4BAD"/>
    <w:rsid w:val="2A5A37DD"/>
    <w:rsid w:val="2A907BDF"/>
    <w:rsid w:val="2B2929FD"/>
    <w:rsid w:val="2D3F60C8"/>
    <w:rsid w:val="2D744D98"/>
    <w:rsid w:val="2E631B34"/>
    <w:rsid w:val="2F694951"/>
    <w:rsid w:val="2FD25940"/>
    <w:rsid w:val="30764FFB"/>
    <w:rsid w:val="31E91832"/>
    <w:rsid w:val="3255674E"/>
    <w:rsid w:val="32C02D16"/>
    <w:rsid w:val="32DE60F5"/>
    <w:rsid w:val="33991750"/>
    <w:rsid w:val="33D85AB0"/>
    <w:rsid w:val="3448700F"/>
    <w:rsid w:val="34630135"/>
    <w:rsid w:val="3561344F"/>
    <w:rsid w:val="372513A5"/>
    <w:rsid w:val="373A3793"/>
    <w:rsid w:val="376F69E8"/>
    <w:rsid w:val="381D1EE0"/>
    <w:rsid w:val="38632C88"/>
    <w:rsid w:val="38647BC7"/>
    <w:rsid w:val="38C57482"/>
    <w:rsid w:val="39082206"/>
    <w:rsid w:val="3AB64388"/>
    <w:rsid w:val="3ABD79BE"/>
    <w:rsid w:val="3B926D94"/>
    <w:rsid w:val="3CE81E75"/>
    <w:rsid w:val="3CFF77B4"/>
    <w:rsid w:val="3DA32D36"/>
    <w:rsid w:val="3E720103"/>
    <w:rsid w:val="40354109"/>
    <w:rsid w:val="41B40FC5"/>
    <w:rsid w:val="424803E7"/>
    <w:rsid w:val="43E30173"/>
    <w:rsid w:val="44D64D0B"/>
    <w:rsid w:val="4513614E"/>
    <w:rsid w:val="463002D4"/>
    <w:rsid w:val="47B367EE"/>
    <w:rsid w:val="47D67F79"/>
    <w:rsid w:val="483743C3"/>
    <w:rsid w:val="48604627"/>
    <w:rsid w:val="4A5A0857"/>
    <w:rsid w:val="4A7B5783"/>
    <w:rsid w:val="4B9735E6"/>
    <w:rsid w:val="4C620656"/>
    <w:rsid w:val="4D3C1C0D"/>
    <w:rsid w:val="4E380197"/>
    <w:rsid w:val="4F5E446C"/>
    <w:rsid w:val="53984861"/>
    <w:rsid w:val="53D9765E"/>
    <w:rsid w:val="54156CC8"/>
    <w:rsid w:val="5519076E"/>
    <w:rsid w:val="55375E77"/>
    <w:rsid w:val="55F95035"/>
    <w:rsid w:val="5754798A"/>
    <w:rsid w:val="57C87B27"/>
    <w:rsid w:val="57D87F2B"/>
    <w:rsid w:val="57DD4624"/>
    <w:rsid w:val="58D96A00"/>
    <w:rsid w:val="5AD67A6C"/>
    <w:rsid w:val="5AFB5288"/>
    <w:rsid w:val="5B9C08EF"/>
    <w:rsid w:val="5C5435A0"/>
    <w:rsid w:val="5D9F6220"/>
    <w:rsid w:val="5DBF01F3"/>
    <w:rsid w:val="5E554865"/>
    <w:rsid w:val="5E9B07B0"/>
    <w:rsid w:val="5EE70959"/>
    <w:rsid w:val="5FED7CD9"/>
    <w:rsid w:val="60282D6F"/>
    <w:rsid w:val="60804679"/>
    <w:rsid w:val="62967221"/>
    <w:rsid w:val="63157073"/>
    <w:rsid w:val="636C6863"/>
    <w:rsid w:val="64140A12"/>
    <w:rsid w:val="65BE1FF1"/>
    <w:rsid w:val="66432CA9"/>
    <w:rsid w:val="66E96680"/>
    <w:rsid w:val="679E4DCF"/>
    <w:rsid w:val="67BF54E8"/>
    <w:rsid w:val="6A044050"/>
    <w:rsid w:val="6AC92CA5"/>
    <w:rsid w:val="6B3C55F5"/>
    <w:rsid w:val="6B42789B"/>
    <w:rsid w:val="6BBA73C5"/>
    <w:rsid w:val="6C3275C1"/>
    <w:rsid w:val="6CEB4E3F"/>
    <w:rsid w:val="6D01522F"/>
    <w:rsid w:val="6DDC454B"/>
    <w:rsid w:val="6E11055B"/>
    <w:rsid w:val="6ED230FA"/>
    <w:rsid w:val="6F122692"/>
    <w:rsid w:val="6F934823"/>
    <w:rsid w:val="70755332"/>
    <w:rsid w:val="7351760C"/>
    <w:rsid w:val="73795A6D"/>
    <w:rsid w:val="74A4541B"/>
    <w:rsid w:val="752715C0"/>
    <w:rsid w:val="767B22BE"/>
    <w:rsid w:val="770C5C18"/>
    <w:rsid w:val="778E7BEF"/>
    <w:rsid w:val="781001B8"/>
    <w:rsid w:val="789B537A"/>
    <w:rsid w:val="791B7A3D"/>
    <w:rsid w:val="79A05285"/>
    <w:rsid w:val="7AB1248B"/>
    <w:rsid w:val="7B564F8F"/>
    <w:rsid w:val="7DDF1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CB183"/>
  <w15:docId w15:val="{34F996C2-1C37-422B-93F8-FF621A33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numPr>
        <w:ilvl w:val="1"/>
        <w:numId w:val="1"/>
      </w:numPr>
      <w:outlineLvl w:val="1"/>
    </w:pPr>
  </w:style>
  <w:style w:type="paragraph" w:styleId="7">
    <w:name w:val="heading 7"/>
    <w:basedOn w:val="a"/>
    <w:next w:val="a"/>
    <w:qFormat/>
    <w:pPr>
      <w:numPr>
        <w:ilvl w:val="6"/>
        <w:numId w:val="2"/>
      </w:numPr>
      <w:ind w:leftChars="236" w:left="1416" w:hangingChars="354" w:hanging="85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宋体"/>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qFormat/>
    <w:rPr>
      <w:sz w:val="21"/>
      <w:szCs w:val="21"/>
    </w:rPr>
  </w:style>
  <w:style w:type="paragraph" w:customStyle="1" w:styleId="ITB-0">
    <w:name w:val="ITB-0"/>
    <w:basedOn w:val="a"/>
    <w:qFormat/>
    <w:pPr>
      <w:adjustRightInd w:val="0"/>
      <w:jc w:val="center"/>
      <w:textAlignment w:val="baseline"/>
    </w:pPr>
    <w:rPr>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13BDB7-ABBB-4029-B544-868F9F4F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zbb-m</cp:lastModifiedBy>
  <cp:revision>2</cp:revision>
  <dcterms:created xsi:type="dcterms:W3CDTF">2021-05-26T08:23:00Z</dcterms:created>
  <dcterms:modified xsi:type="dcterms:W3CDTF">2021-05-26T08:23:00Z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ECE70CB19CEE4845ACAFCBC666A8D173</vt:lpwstr>
  </property>
</Properties>
</file>