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left"/>
        <w:rPr>
          <w:rFonts w:hint="default" w:ascii="Times New Roman Regular" w:hAnsi="Times New Roman Regular" w:eastAsia="宋体" w:cs="Times New Roman Regular"/>
          <w:b w:val="0"/>
          <w:bCs/>
          <w:color w:val="4C4A44"/>
          <w:sz w:val="32"/>
          <w:szCs w:val="32"/>
          <w:lang w:val="zh-CN" w:bidi="zh-CN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Cs w:val="21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bCs/>
          <w:szCs w:val="21"/>
        </w:rPr>
        <w:t xml:space="preserve">                                   </w:t>
      </w:r>
      <w:r>
        <w:rPr>
          <w:rFonts w:hint="default" w:ascii="Times New Roman Regular" w:hAnsi="Times New Roman Regular" w:eastAsia="宋体" w:cs="Times New Roman Regular"/>
          <w:b w:val="0"/>
          <w:bCs/>
          <w:color w:val="4C4A44"/>
          <w:sz w:val="32"/>
          <w:szCs w:val="32"/>
          <w:lang w:val="zh-CN" w:bidi="zh-CN"/>
        </w:rPr>
        <w:t>说明</w:t>
      </w:r>
    </w:p>
    <w:p>
      <w:pPr>
        <w:spacing w:line="360" w:lineRule="auto"/>
        <w:jc w:val="left"/>
        <w:rPr>
          <w:rFonts w:hint="default" w:ascii="Times New Roman Regular" w:hAnsi="Times New Roman Regular" w:eastAsia="宋体" w:cs="Times New Roman Regular"/>
          <w:b w:val="0"/>
          <w:bCs/>
          <w:color w:val="4C4A44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4C4A44"/>
          <w:sz w:val="32"/>
          <w:szCs w:val="32"/>
        </w:rPr>
        <w:t>公司资质：</w:t>
      </w:r>
    </w:p>
    <w:p>
      <w:pPr>
        <w:pStyle w:val="2"/>
        <w:tabs>
          <w:tab w:val="left" w:pos="562"/>
          <w:tab w:val="left" w:pos="3372"/>
          <w:tab w:val="left" w:pos="3653"/>
        </w:tabs>
        <w:ind w:firstLine="0" w:firstLineChars="0"/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公司需具有成熟的管理和服务体系，具备标准的生产流程、完善的质控体系及高素质的检验人员，通过ISO9001质量管理体系认证、Illumina CSPro认证。与国内外高水平科研机构有广泛合作经验，并有高质量的基因组、转录组、蛋白组及多组学相关的发表文章积累。有大数据分析的核心技术能力及经验，能够满足甲方的后续个性化分析需求。公司质谱平台需已发表Science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Cell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Nature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Gut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PNAS等高水平客户文章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。</w:t>
      </w:r>
    </w:p>
    <w:p>
      <w:pPr>
        <w:widowControl/>
        <w:jc w:val="left"/>
        <w:rPr>
          <w:rFonts w:hint="default" w:ascii="Times New Roman Regular" w:hAnsi="Times New Roman Regular" w:eastAsia="宋体" w:cs="Times New Roman Regular"/>
          <w:b w:val="0"/>
        </w:rPr>
      </w:pPr>
    </w:p>
    <w:p>
      <w:pPr>
        <w:pStyle w:val="2"/>
        <w:tabs>
          <w:tab w:val="left" w:pos="562"/>
          <w:tab w:val="left" w:pos="3372"/>
          <w:tab w:val="left" w:pos="3653"/>
        </w:tabs>
        <w:ind w:firstLine="0" w:firstLineChars="0"/>
        <w:rPr>
          <w:rFonts w:hint="default" w:ascii="Times New Roman Regular" w:hAnsi="Times New Roman Regular" w:eastAsia="宋体" w:cs="Times New Roman Regular"/>
          <w:b w:val="0"/>
          <w:color w:val="4C4A44"/>
          <w:sz w:val="21"/>
          <w:szCs w:val="21"/>
          <w:highlight w:val="yellow"/>
        </w:rPr>
      </w:pPr>
    </w:p>
    <w:p>
      <w:pPr>
        <w:pStyle w:val="2"/>
        <w:tabs>
          <w:tab w:val="left" w:pos="562"/>
          <w:tab w:val="left" w:pos="3372"/>
          <w:tab w:val="left" w:pos="3653"/>
        </w:tabs>
        <w:ind w:firstLine="0" w:firstLineChars="0"/>
        <w:rPr>
          <w:rFonts w:hint="default" w:ascii="Times New Roman Regular" w:hAnsi="Times New Roman Regular" w:eastAsia="宋体" w:cs="Times New Roman Regular"/>
          <w:b w:val="0"/>
          <w:bCs/>
          <w:color w:val="4C4A44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4C4A44"/>
          <w:sz w:val="32"/>
          <w:szCs w:val="32"/>
        </w:rPr>
        <w:t>目的：</w:t>
      </w:r>
    </w:p>
    <w:p>
      <w:pPr>
        <w:pStyle w:val="2"/>
        <w:tabs>
          <w:tab w:val="left" w:pos="562"/>
          <w:tab w:val="left" w:pos="3372"/>
          <w:tab w:val="left" w:pos="3653"/>
        </w:tabs>
        <w:ind w:firstLine="0" w:firstLineChars="0"/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</w:rPr>
        <w:t>.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</w:rPr>
        <w:t xml:space="preserve"> 4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  <w:lang w:val="en-US" w:eastAsia="zh-Hans"/>
        </w:rPr>
        <w:t>D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  <w:lang w:eastAsia="zh-Hans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</w:rPr>
        <w:t>DIA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</w:rPr>
        <w:t>蛋白质组检测：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基于4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D平台tims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TOF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Pro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 xml:space="preserve"> 2），完成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  <w:highlight w:val="yellow"/>
        </w:rPr>
        <w:t>人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  <w:highlight w:val="yellow"/>
          <w:lang w:val="en-US" w:eastAsia="zh-Hans"/>
        </w:rPr>
        <w:t>胰腺组织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蛋白组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  <w:lang w:val="en-US" w:eastAsia="zh-Hans"/>
        </w:rPr>
        <w:t>检测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工作并对数据进行质控/分析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，蛋白质的鉴定结果要达到8000个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，并完成常规的组学分析及甲方要求的个性化分析（详见技术与参数表）。</w:t>
      </w:r>
    </w:p>
    <w:p>
      <w:pPr>
        <w:pStyle w:val="2"/>
        <w:tabs>
          <w:tab w:val="left" w:pos="562"/>
          <w:tab w:val="left" w:pos="3372"/>
          <w:tab w:val="left" w:pos="3653"/>
        </w:tabs>
        <w:ind w:firstLine="0" w:firstLineChars="0"/>
        <w:rPr>
          <w:rFonts w:hint="default" w:ascii="Times New Roman Regular" w:hAnsi="Times New Roman Regular" w:eastAsia="宋体" w:cs="Times New Roman Regular"/>
          <w:b w:val="0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</w:rPr>
        <w:t xml:space="preserve">. 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  <w:lang w:val="en-US" w:eastAsia="zh-Hans"/>
        </w:rPr>
        <w:t>非靶代谢</w:t>
      </w:r>
      <w:r>
        <w:rPr>
          <w:rFonts w:hint="default" w:ascii="Times New Roman Regular" w:hAnsi="Times New Roman Regular" w:eastAsia="宋体" w:cs="Times New Roman Regular"/>
          <w:b w:val="0"/>
          <w:bCs/>
          <w:sz w:val="21"/>
          <w:szCs w:val="21"/>
        </w:rPr>
        <w:t>组检测：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基于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Thermo Q Exactive</w:t>
      </w:r>
      <w:r>
        <w:rPr>
          <w:rFonts w:hint="default" w:ascii="Times New Roman Regular" w:hAnsi="Times New Roman Regular" w:eastAsia="宋体" w:cs="Times New Roman Regular"/>
          <w:b w:val="0"/>
          <w:szCs w:val="21"/>
          <w:vertAlign w:val="superscript"/>
          <w:lang w:bidi="zh-CN"/>
        </w:rPr>
        <w:t xml:space="preserve">TM 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HF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 xml:space="preserve"> (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-X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)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，完成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  <w:highlight w:val="yellow"/>
        </w:rPr>
        <w:t>人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  <w:highlight w:val="yellow"/>
          <w:lang w:val="en-US" w:eastAsia="zh-Hans"/>
        </w:rPr>
        <w:t>胰腺组织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  <w:lang w:val="en-US" w:eastAsia="zh-Hans"/>
        </w:rPr>
        <w:t>非靶向代谢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组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  <w:lang w:val="en-US" w:eastAsia="zh-Hans"/>
        </w:rPr>
        <w:t>检测</w:t>
      </w:r>
      <w:r>
        <w:rPr>
          <w:rFonts w:hint="default" w:ascii="Times New Roman Regular" w:hAnsi="Times New Roman Regular" w:eastAsia="宋体" w:cs="Times New Roman Regular"/>
          <w:b w:val="0"/>
          <w:sz w:val="21"/>
          <w:szCs w:val="21"/>
        </w:rPr>
        <w:t>工作并对数据进行质控/分析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，并完成常规的组学分析及甲方要求的个性化分析（详见技术与参数表）。</w:t>
      </w:r>
    </w:p>
    <w:p>
      <w:pPr>
        <w:pStyle w:val="2"/>
        <w:tabs>
          <w:tab w:val="left" w:pos="562"/>
          <w:tab w:val="left" w:pos="3372"/>
          <w:tab w:val="left" w:pos="3653"/>
        </w:tabs>
        <w:ind w:firstLine="0" w:firstLineChars="0"/>
        <w:rPr>
          <w:rFonts w:hint="default" w:ascii="Times New Roman Regular" w:hAnsi="Times New Roman Regular" w:eastAsia="宋体" w:cs="Times New Roman Regular"/>
          <w:b w:val="0"/>
          <w:bCs/>
          <w:color w:val="4C4A44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多组学联合个性化分析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：需按甲方的合理个性化需求，提供满意的分析报告。</w:t>
      </w:r>
    </w:p>
    <w:p>
      <w:pPr>
        <w:spacing w:line="360" w:lineRule="exact"/>
        <w:jc w:val="left"/>
        <w:rPr>
          <w:rFonts w:hint="default" w:ascii="Times New Roman Regular" w:hAnsi="Times New Roman Regular" w:eastAsia="宋体" w:cs="Times New Roman Regular"/>
          <w:b w:val="0"/>
          <w:bCs/>
          <w:sz w:val="32"/>
          <w:szCs w:val="28"/>
        </w:rPr>
      </w:pPr>
    </w:p>
    <w:p>
      <w:pPr>
        <w:spacing w:line="360" w:lineRule="exact"/>
        <w:jc w:val="left"/>
        <w:rPr>
          <w:rFonts w:hint="default" w:ascii="Times New Roman Regular" w:hAnsi="Times New Roman Regular" w:eastAsia="宋体" w:cs="Times New Roman Regular"/>
          <w:b w:val="0"/>
          <w:bCs/>
          <w:sz w:val="32"/>
          <w:szCs w:val="28"/>
        </w:rPr>
      </w:pPr>
    </w:p>
    <w:p>
      <w:pPr>
        <w:spacing w:line="360" w:lineRule="exact"/>
        <w:jc w:val="left"/>
        <w:rPr>
          <w:rFonts w:hint="default" w:ascii="Times New Roman Regular" w:hAnsi="Times New Roman Regular" w:eastAsia="宋体" w:cs="Times New Roman Regular"/>
          <w:b w:val="0"/>
          <w:bCs/>
          <w:sz w:val="32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32"/>
          <w:szCs w:val="28"/>
        </w:rPr>
        <w:t>附：</w:t>
      </w:r>
    </w:p>
    <w:p>
      <w:pPr>
        <w:spacing w:line="360" w:lineRule="exact"/>
        <w:jc w:val="left"/>
        <w:rPr>
          <w:rFonts w:hint="default" w:ascii="Times New Roman Regular" w:hAnsi="Times New Roman Regular" w:eastAsia="宋体" w:cs="Times New Roman Regular"/>
          <w:b w:val="0"/>
          <w:bCs/>
          <w:sz w:val="32"/>
          <w:szCs w:val="28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sz w:val="32"/>
          <w:szCs w:val="28"/>
        </w:rPr>
        <w:t>技术与参数</w:t>
      </w:r>
    </w:p>
    <w:p>
      <w:pPr>
        <w:spacing w:line="360" w:lineRule="exact"/>
        <w:ind w:firstLine="0" w:firstLineChars="0"/>
        <w:rPr>
          <w:rFonts w:hint="default" w:ascii="Times New Roman Regular" w:hAnsi="Times New Roman Regular" w:eastAsia="宋体" w:cs="Times New Roman Regular"/>
          <w:b w:val="0"/>
          <w:sz w:val="20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</w:pP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 xml:space="preserve">. 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4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en-US" w:eastAsia="zh-Hans" w:bidi="zh-CN"/>
        </w:rPr>
        <w:t>D-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DIA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蛋白质组</w:t>
      </w:r>
    </w:p>
    <w:p>
      <w:pPr>
        <w:spacing w:line="360" w:lineRule="exact"/>
        <w:ind w:firstLine="420" w:firstLineChars="200"/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</w:pP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2.1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基于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4D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平台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tims TOF Pro 2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en-US" w:eastAsia="zh-Hans" w:bidi="zh-CN"/>
        </w:rPr>
        <w:t>质谱仪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完成</w:t>
      </w:r>
      <w:r>
        <w:rPr>
          <w:rFonts w:hint="default" w:ascii="Times New Roman Regular" w:hAnsi="Times New Roman Regular" w:eastAsia="宋体" w:cs="Times New Roman Regular"/>
          <w:b w:val="0"/>
          <w:szCs w:val="21"/>
        </w:rPr>
        <w:t>人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en-US" w:eastAsia="zh-Hans"/>
        </w:rPr>
        <w:t>胰腺组织</w:t>
      </w:r>
      <w:r>
        <w:rPr>
          <w:rFonts w:hint="default" w:ascii="Times New Roman Regular" w:hAnsi="Times New Roman Regular" w:eastAsia="宋体" w:cs="Times New Roman Regular"/>
          <w:b w:val="0"/>
          <w:szCs w:val="21"/>
        </w:rPr>
        <w:t>蛋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白组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en-US" w:eastAsia="zh-Hans" w:bidi="zh-CN"/>
        </w:rPr>
        <w:t>检测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工作并对数据进行质控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/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分析。蛋白质的鉴定结果要达到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8000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个。</w:t>
      </w:r>
    </w:p>
    <w:p>
      <w:pPr>
        <w:spacing w:line="360" w:lineRule="exact"/>
        <w:ind w:firstLine="420" w:firstLineChars="200"/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</w:pP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 xml:space="preserve">2.2 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4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en-US" w:eastAsia="zh-Hans" w:bidi="zh-CN"/>
        </w:rPr>
        <w:t>D-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DIA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蛋白质组分析</w:t>
      </w:r>
    </w:p>
    <w:p>
      <w:pPr>
        <w:spacing w:line="360" w:lineRule="auto"/>
        <w:ind w:left="787" w:leftChars="200" w:hanging="367" w:hangingChars="175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1）服务范围：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对样本进行DIA蛋白组检测：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样品提取，质检，DDA建库，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对DDA，DIA数据进行质控，原始数据搜库解谱，对总蛋白功能注释，蛋白质定量结果，进行蛋白差异分析，差异蛋白富集分析，差异蛋白互作分析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787" w:leftChars="200" w:hanging="367" w:hangingChars="175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2）使用设备要求：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D平台TIMS-TOF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Pro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787" w:leftChars="200" w:hanging="367" w:hangingChars="175"/>
        <w:jc w:val="left"/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3）检测要求：</w:t>
      </w:r>
    </w:p>
    <w:p>
      <w:pPr>
        <w:pStyle w:val="7"/>
        <w:spacing w:beforeAutospacing="0" w:afterAutospacing="0" w:line="360" w:lineRule="auto"/>
        <w:ind w:left="840" w:leftChars="400" w:firstLine="0" w:firstLineChars="0"/>
        <w:jc w:val="both"/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lang w:bidi="ar"/>
          <w14:textFill>
            <w14:solidFill>
              <w14:schemeClr w14:val="tx1"/>
            </w14:solidFill>
          </w14:textFill>
        </w:rPr>
        <w:t>DDA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模式液质检测：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nanoElute- tims TOF pro2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配制流动相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液（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100%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水、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0.1%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甲酸）和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液（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100%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乙腈、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0.1%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甲酸）。使用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μL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液溶解冻干粉末，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4℃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下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14000 </w:t>
      </w:r>
      <w:r>
        <w:rPr>
          <w:rFonts w:hint="default" w:ascii="Times New Roman Regular" w:hAnsi="Times New Roman Regular" w:eastAsia="宋体" w:cs="Times New Roman Regular"/>
          <w:b w:val="0"/>
          <w:i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离心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20 min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，取上清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200 ng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样品进样，液质检测。使用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nanoElute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纳升级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UHPLC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系统，分析柱为（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25 cm×75 μm, 1.6 μm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），液相色谱洗脱条件如表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所示。使用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tims TOF pro2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质谱仪，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Captive Spray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离子源，设定离子喷雾电压为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1.5 kV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，质谱全扫描范围为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m/z 100-1700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Ramp time 100 ms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Lock Duty Cycle to 100%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PASEF settings: 10 MS/MS scans (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总循环时间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1.17sec)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，离子强度阈值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2500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Scheduling目标强度为20000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；生成质谱检测原始数据（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.d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），用于构建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DDA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谱图库。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100" w:beforeAutospacing="0" w:after="100" w:afterAutospacing="0" w:line="360" w:lineRule="auto"/>
        <w:ind w:left="840" w:leftChars="400" w:right="0"/>
        <w:jc w:val="both"/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DIA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模式液质检测：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nanoElute- tims TOF pro2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配制流动相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液（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100%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水、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0.1%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甲酸）和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液（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100%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乙腈、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0.1%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甲酸）。使用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10μL A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液溶解冻干粉末，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4℃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下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14000 </w:t>
      </w:r>
      <w:r>
        <w:rPr>
          <w:rFonts w:hint="default" w:ascii="Times New Roman Regular" w:hAnsi="Times New Roman Regular" w:eastAsia="宋体" w:cs="Times New Roman Regular"/>
          <w:b w:val="0"/>
          <w:i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离心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20 min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，取上清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200 ng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样品进样，液质检测。使用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nanoElute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纳升级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UHPLC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系统，分析柱为（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25 cm×75 μm, 1.6 μm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），液相色谱洗脱条件如表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所示。使用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tims TOF pro2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质谱仪， 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Captive Spray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离子源，设定离子喷雾电压为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1.5 kV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，质谱全扫描范围为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m/z 100-1700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Ramp time 100 ms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Lock Duty Cycle to 100%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；扫描窗口大小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25Da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，淌度窗口个数为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。生成质谱检测原始数据（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.d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）。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pStyle w:val="7"/>
        <w:numPr>
          <w:ilvl w:val="0"/>
          <w:numId w:val="1"/>
        </w:numPr>
        <w:spacing w:beforeAutospacing="0" w:afterAutospacing="0" w:line="360" w:lineRule="auto"/>
        <w:ind w:left="787" w:leftChars="200" w:hanging="367" w:hangingChars="175"/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检测结果统计要求：</w:t>
      </w:r>
    </w:p>
    <w:p>
      <w:pPr>
        <w:pStyle w:val="7"/>
        <w:spacing w:beforeAutospacing="0" w:afterAutospacing="0" w:line="360" w:lineRule="auto"/>
        <w:ind w:left="840" w:leftChars="400"/>
        <w:jc w:val="both"/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val="en-US" w:eastAsia="zh-Hans" w:bidi="ar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蛋白数据库使用搜库软件 Spectronaut-Pulsar (Biognosys）搜索 DDA扫描模式下机数据。搜库参数设置如下：前体离子的质量容差为 10 ppm，碎片离子的质量容差为0.02 Da。固定化修饰为半胱氮酸的烷基化修饰，可变修饰为甲硫氡酸氧化修饰，N 端为乙酰化修饰，允许最多2个漏切位点。为了提高分析结果质量，Spectronaut-Pulsar 软件对检索结果进一步过滤：可信度在 99%以上的谱肽 （Peptide Spectrum Matches，简称 PSMs）为可信 PSMs，至少包含一 个 unique</w:t>
      </w:r>
    </w:p>
    <w:p>
      <w:pPr>
        <w:pStyle w:val="7"/>
        <w:spacing w:beforeAutospacing="0" w:afterAutospacing="0" w:line="360" w:lineRule="auto"/>
        <w:ind w:left="840" w:leftChars="400"/>
        <w:jc w:val="both"/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肽段(特有肽段〉的蛋白为可信蛋白，只保留可信的谱肽和蛋白，并做 FDR 验证，去除 FDR大手 1%的肽段和蛋白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将DIA 数据导入Spectronaut 软件，根据 pulsar 构建 DDA 数据库提取离子对色谱峰，讲行子离子几配和峰面积计算，实现对肽段的同时定性和定量。利用样品中加入的 RT 讲行保留时间校正，前体离子 Qvalue cutoff 值设为0.01。用T-test 检验对蛋白质定量结果进行统计分析，将实验组和对照组之间定量差异品著的蛋白质(0&lt;0.05 1022FCI&gt;* (FC&gt;* or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FC&lt;* [fold change,FCJ定义为差异表达蛋白 (DEP)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spacing w:beforeAutospacing="0" w:afterAutospacing="0" w:line="360" w:lineRule="auto"/>
        <w:ind w:left="787" w:leftChars="200" w:hanging="367" w:hangingChars="175"/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结果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分析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要求：QC质控分析+标准数据分析+高级生物信息学分析。</w:t>
      </w:r>
    </w:p>
    <w:tbl>
      <w:tblPr>
        <w:tblStyle w:val="9"/>
        <w:tblW w:w="43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994"/>
        <w:gridCol w:w="1389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1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D-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DIA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蛋白定量质谱检测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2" w:hRule="atLeast"/>
          <w:jc w:val="center"/>
        </w:trPr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分析内容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原始数据搜库解谱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Spectronaut-Pulsar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搜库软件对DDA扫描方式得到的下机文件，进行搜库解谱，将谱图信息转化为蛋白质信息，同时进行DDA数据质控，将质控后的数据导入Spectronaut构建出一个真实的谱图库DDA library。通过Spectronaut将DIA扫描方式得到的下机谱图文件比对到DDA library进行蛋白鉴定。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数据质控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搜库完成后，对数据进行质控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DDA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数据指控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肽段长度分布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母离子质量容差分布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2.3 Unique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肽段数分布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2.4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蛋白覆盖度分布及蛋白分子量分布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DIA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数据指控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.5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DIA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数据的蛋白质鉴定数据累积回收率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2.6 Average data points per peak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色谱峰平均数据点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.7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Peak capacity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峰能力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.8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iRT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的检出率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.9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Protein FDR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.10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Clustering DIA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数据的聚类分析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定量分析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蛋白质定量结果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3.1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定量结果统计（总差异蛋白数、上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下调数量）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火山图分布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3.3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检出蛋白层次聚类分析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3.4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检出蛋白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K-means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聚类分析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差异蛋白层次聚类分析（有生物学重复样品）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3.6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差异蛋白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K-means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聚类分析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3.7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修饰位点定量分析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3.8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差异修饰位点激酶分析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重复性分析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定量结果重复性分析（有生物学重复样品）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蛋白功能分析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蛋白质功能注释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总蛋白功能注释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5.1.1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总蛋白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5.1.2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总蛋白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KEGG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5.1.3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总蛋白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COG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5.1.4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总蛋白结构域注释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5.1.5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亚细胞结构定位分析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5.1.6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不同功能注释韦恩图分析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差异蛋白富集分析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5.2.1 GO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富集分析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5.2.2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结构域富集分析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5.2.3 KEGG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富集分析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5.2.4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差异蛋白亚细胞定位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5.3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蛋白质互相作用网络图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5.4 WGCNA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.5 GSEA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关联分析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蛋白质组与转录组关联分析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转录组和蛋白质组表达调控分析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6.2.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转录组和蛋白质组表达量关联分析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6.3.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转录组和蛋白质组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功能富集分析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6.4.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转录组和蛋白质组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功能富集聚类热图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6.5.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转录组和蛋白质组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KEGG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通路富集分析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2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其他分析</w:t>
            </w:r>
          </w:p>
        </w:tc>
        <w:tc>
          <w:tcPr>
            <w:tcW w:w="9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其他个性化分析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客户提出需求，后台评估后，进行可行性反馈及分析</w:t>
            </w:r>
          </w:p>
        </w:tc>
      </w:tr>
    </w:tbl>
    <w:p>
      <w:pPr>
        <w:spacing w:line="360" w:lineRule="auto"/>
        <w:jc w:val="left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787" w:leftChars="200" w:hanging="367" w:hangingChars="175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6）项目验收要求：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每例样本检测不低于8000个蛋白。</w:t>
      </w:r>
    </w:p>
    <w:p>
      <w:pPr>
        <w:spacing w:line="360" w:lineRule="auto"/>
        <w:ind w:left="787" w:leftChars="200" w:hanging="367" w:hangingChars="175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7）售后服务：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数据验收合格后，至少提供1年的售后服务；提供技术培训及咨询服务；给出文章投稿建议，并提供文章杂志要求的分辨率和大小合格的图表；对审稿人的修回意见提供专业答复供参考；对蛋白组学生物信息进行培训。</w:t>
      </w:r>
    </w:p>
    <w:p>
      <w:pPr>
        <w:pStyle w:val="18"/>
        <w:spacing w:line="360" w:lineRule="auto"/>
        <w:ind w:firstLine="0" w:firstLineChars="0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3 交付期限：</w:t>
      </w:r>
    </w:p>
    <w:p>
      <w:pPr>
        <w:pStyle w:val="18"/>
        <w:spacing w:line="360" w:lineRule="auto"/>
        <w:ind w:left="772" w:leftChars="200" w:hanging="352" w:hangingChars="168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承诺在样本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检测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合格后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highlight w:val="yellow"/>
          <w14:textFill>
            <w14:solidFill>
              <w14:schemeClr w14:val="tx1"/>
            </w14:solidFill>
          </w14:textFill>
        </w:rPr>
        <w:t>35个自然日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内交付数据。</w:t>
      </w:r>
    </w:p>
    <w:p>
      <w:pPr>
        <w:pStyle w:val="18"/>
        <w:spacing w:line="360" w:lineRule="auto"/>
        <w:ind w:firstLine="0" w:firstLineChars="0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交付形式：</w:t>
      </w:r>
    </w:p>
    <w:p>
      <w:pPr>
        <w:pStyle w:val="18"/>
        <w:spacing w:line="360" w:lineRule="auto"/>
        <w:ind w:left="772" w:leftChars="200" w:hanging="352" w:hangingChars="168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提供原始数据，质控报告，结题报告，结果文件等；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数据交付根据采购人需求提供硬盘、ftp或云传输等多种途径交付形式。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2"/>
        </w:numP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</w:pPr>
      <w:r>
        <w:rPr>
          <w:rFonts w:hint="default" w:ascii="Times New Roman Regular" w:hAnsi="Times New Roman Regular" w:eastAsia="宋体" w:cs="Times New Roman Regular"/>
          <w:b w:val="0"/>
          <w:szCs w:val="21"/>
          <w:lang w:val="en-US" w:eastAsia="zh-Hans" w:bidi="zh-CN"/>
        </w:rPr>
        <w:t>非靶代谢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组</w:t>
      </w:r>
    </w:p>
    <w:p>
      <w:pPr>
        <w:spacing w:line="360" w:lineRule="exact"/>
        <w:ind w:firstLine="420" w:firstLineChars="200"/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</w:pP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3.1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基于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Thermo Q Exactive</w:t>
      </w:r>
      <w:r>
        <w:rPr>
          <w:rFonts w:hint="default" w:ascii="Times New Roman Regular" w:hAnsi="Times New Roman Regular" w:eastAsia="宋体" w:cs="Times New Roman Regular"/>
          <w:b w:val="0"/>
          <w:szCs w:val="21"/>
          <w:vertAlign w:val="superscript"/>
          <w:lang w:bidi="zh-CN"/>
        </w:rPr>
        <w:t xml:space="preserve">TM 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HF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 xml:space="preserve"> (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-X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)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高分辨质谱仪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完成</w:t>
      </w:r>
      <w:r>
        <w:rPr>
          <w:rFonts w:hint="default" w:ascii="Times New Roman Regular" w:hAnsi="Times New Roman Regular" w:eastAsia="宋体" w:cs="Times New Roman Regular"/>
          <w:b w:val="0"/>
          <w:szCs w:val="21"/>
          <w:highlight w:val="yellow"/>
        </w:rPr>
        <w:t>人</w:t>
      </w:r>
      <w:r>
        <w:rPr>
          <w:rFonts w:hint="default" w:ascii="Times New Roman Regular" w:hAnsi="Times New Roman Regular" w:eastAsia="宋体" w:cs="Times New Roman Regular"/>
          <w:b w:val="0"/>
          <w:szCs w:val="21"/>
          <w:highlight w:val="yellow"/>
          <w:lang w:val="en-US" w:eastAsia="zh-Hans"/>
        </w:rPr>
        <w:t>胰腺组织样本非靶代谢组检测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工作并对数据进行质控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/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>分析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。</w:t>
      </w:r>
    </w:p>
    <w:p>
      <w:pPr>
        <w:spacing w:line="360" w:lineRule="exact"/>
        <w:ind w:firstLine="420" w:firstLineChars="200"/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</w:pPr>
      <w:bookmarkStart w:id="0" w:name="_GoBack"/>
      <w:r>
        <w:rPr>
          <w:rFonts w:hint="default" w:ascii="Times New Roman Regular" w:hAnsi="Times New Roman Regular" w:eastAsia="宋体" w:cs="Times New Roman Regular"/>
          <w:b w:val="0"/>
          <w:szCs w:val="21"/>
          <w:lang w:bidi="zh-CN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zh-CN" w:bidi="zh-CN"/>
        </w:rPr>
        <w:t xml:space="preserve">.2 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en-US" w:eastAsia="zh-Hans" w:bidi="zh-CN"/>
        </w:rPr>
        <w:t>LC-MS非靶向代谢组检测分析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787" w:leftChars="200" w:right="0" w:rightChars="0" w:hanging="367" w:hangingChars="175"/>
        <w:jc w:val="left"/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eastAsia="zh-CN" w:bidi="ar"/>
        </w:rPr>
        <w:t>）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服务范围：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lang w:val="en-US" w:eastAsia="zh-CN" w:bidi="ar"/>
        </w:rPr>
        <w:t>对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highlight w:val="yellow"/>
          <w:lang w:val="en-US" w:eastAsia="zh-Hans" w:bidi="ar"/>
        </w:rPr>
        <w:t>胰腺组织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highlight w:val="yellow"/>
          <w:lang w:val="en-US" w:eastAsia="zh-CN" w:bidi="ar"/>
        </w:rPr>
        <w:t>样本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lang w:val="en-US" w:eastAsia="zh-CN" w:bidi="ar"/>
        </w:rPr>
        <w:t>进行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lang w:val="en-US" w:eastAsia="zh-Hans" w:bidi="ar"/>
        </w:rPr>
        <w:t>非靶代谢组学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lang w:val="en-US" w:eastAsia="zh-CN" w:bidi="ar"/>
        </w:rPr>
        <w:t>检测：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样品提取，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Hans" w:bidi="ar"/>
        </w:rPr>
        <w:t>等量混匀制备QC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eastAsia="zh-Hans" w:bidi="ar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lang w:val="en-US" w:eastAsia="zh-CN" w:bidi="ar"/>
        </w:rPr>
        <w:t>上机检测，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对下机数据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lang w:val="en-US" w:eastAsia="zh-CN" w:bidi="ar"/>
        </w:rPr>
        <w:t>数据进行质控，原始数据搜库解谱，对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lang w:val="en-US" w:eastAsia="zh-Hans" w:bidi="ar"/>
        </w:rPr>
        <w:t>代谢物进行</w:t>
      </w:r>
      <w:r>
        <w:rPr>
          <w:rFonts w:hint="default" w:ascii="Times New Roman Regular" w:hAnsi="Times New Roman Regular" w:eastAsia="宋体" w:cs="Times New Roman Regular"/>
          <w:b w:val="0"/>
          <w:kern w:val="2"/>
          <w:sz w:val="21"/>
          <w:szCs w:val="21"/>
          <w:lang w:val="en-US" w:eastAsia="zh-CN" w:bidi="ar"/>
        </w:rPr>
        <w:t>功能注释，对定量结果进行差异分析，功能富集分析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；</w:t>
      </w:r>
    </w:p>
    <w:p>
      <w:pPr>
        <w:pStyle w:val="7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840" w:leftChars="200" w:right="0" w:rightChars="0" w:hanging="420" w:hangingChars="200"/>
        <w:jc w:val="left"/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）使用设备要求：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Q Exactive™ HF-X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分辨率≧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240000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；质量扫描范围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CN" w:bidi="ar"/>
        </w:rPr>
        <w:t>100-1500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 xml:space="preserve"> m/z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，扫描速度：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up to 40 Hz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，质量精确度：内标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&lt; 1 ppm RMS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；外标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&lt;3 ppm RMS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；灵敏度：全扫描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MS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100 fg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上柱量利血平的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S/N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为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150:1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SIM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50 fg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上柱量利血平的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S/N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为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150:1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；动态范围：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&gt; 5000:1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；</w:t>
      </w:r>
    </w:p>
    <w:p>
      <w:pPr>
        <w:pStyle w:val="7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840" w:leftChars="200" w:right="0" w:rightChars="0" w:hanging="420" w:hangingChars="200"/>
        <w:jc w:val="left"/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/>
          <w:kern w:val="2"/>
          <w:sz w:val="21"/>
          <w:szCs w:val="21"/>
          <w:lang w:val="en-US" w:eastAsia="zh-CN" w:bidi="ar"/>
        </w:rPr>
        <w:t>3）检测要求：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DDA模式液质检测：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Hans" w:bidi="ar"/>
        </w:rPr>
        <w:t>Vanquish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Hans" w:bidi="ar"/>
        </w:rPr>
        <w:t>UHPLC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Hans" w:bidi="ar"/>
        </w:rPr>
        <w:t>色谱柱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Hans" w:bidi="ar"/>
        </w:rPr>
        <w:t>H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ypesil Gold column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 xml:space="preserve">(100×2.1 mm, 1.9 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kern w:val="0"/>
          <w:sz w:val="21"/>
          <w:szCs w:val="21"/>
          <w:lang w:val="en-US" w:eastAsia="zh-CN" w:bidi="ar"/>
        </w:rPr>
        <w:t>μm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) 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CN" w:bidi="ar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Hans" w:bidi="ar"/>
        </w:rPr>
        <w:t>离子源：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Nanospray Flex™（ESI）；喷雾电压：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CN" w:bidi="ar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Hans" w:bidi="ar"/>
        </w:rPr>
        <w:t>.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 xml:space="preserve"> kV；Sheath gas flow rate:40arb;Aux Gasflow rate:10arb;Capillary Temp:320°C. Polarity: positive； negative；MS/MS 二级扫描为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Hans" w:bidi="ar"/>
        </w:rPr>
        <w:t>DDA数据依赖性采集模式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  <w:t>。</w:t>
      </w:r>
    </w:p>
    <w:p>
      <w:pPr>
        <w:pStyle w:val="7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840" w:leftChars="200" w:right="0" w:rightChars="0" w:hanging="420" w:hangingChars="200"/>
        <w:jc w:val="left"/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kern w:val="0"/>
          <w:sz w:val="21"/>
          <w:szCs w:val="21"/>
          <w:lang w:eastAsia="zh-Hans" w:bidi="ar"/>
        </w:rPr>
        <w:t>4）</w:t>
      </w:r>
      <w:r>
        <w:rPr>
          <w:rFonts w:hint="default" w:ascii="Times New Roman Regular" w:hAnsi="Times New Roman Regular" w:eastAsia="宋体" w:cs="Times New Roman Regular"/>
          <w:b w:val="0"/>
          <w:bCs/>
          <w:kern w:val="0"/>
          <w:sz w:val="21"/>
          <w:szCs w:val="21"/>
          <w:lang w:val="en-US" w:eastAsia="zh-Hans" w:bidi="ar"/>
        </w:rPr>
        <w:t>检测及结果统计要求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  <w:t>：基于液质联用（LC-MS）技术进行非靶向代谢组学研究，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val="en-US" w:eastAsia="zh-CN" w:bidi="ar"/>
        </w:rPr>
        <w:t>QC质控分析+标准数据分析+高级生物信息学分析。</w:t>
      </w: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  <w:t>使用mzCloud 和 mzVault 以及 MassList 一级数据库检索（搜库）。利用QC质控样本对检测过程中的仪器状态进行监控，实验流程主要包括：样本的代谢物提取、LC-MS/MS 检测以及数据分析等。</w:t>
      </w:r>
    </w:p>
    <w:p>
      <w:pPr>
        <w:pStyle w:val="7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840" w:leftChars="200" w:right="0" w:rightChars="0" w:hanging="420" w:hangingChars="200"/>
        <w:jc w:val="left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 w:val="0"/>
          <w:kern w:val="0"/>
          <w:sz w:val="21"/>
          <w:szCs w:val="21"/>
          <w:lang w:eastAsia="zh-Hans" w:bidi="ar"/>
        </w:rPr>
        <w:t>5）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结果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分析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要求：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QC质控分析+标准数据分析+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个性化</w:t>
      </w:r>
      <w:r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分析。</w:t>
      </w:r>
    </w:p>
    <w:tbl>
      <w:tblPr>
        <w:tblStyle w:val="9"/>
        <w:tblW w:w="43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981"/>
        <w:gridCol w:w="1388"/>
        <w:gridCol w:w="4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LC-MS非靶向代谢组学检测分析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jc w:val="center"/>
        </w:trPr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分析内容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原始数据搜库解谱</w:t>
            </w: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先将质谱检测得到的原始文件（.raw）导入Compound Discoverer 3.1（以下简称CD3.1）软件中，进行谱图处理及数据库搜库，得到代谢物的定性定量结果，然后对数据进行质控保证数据结果的准确度、可靠性。接下来对代谢物进行多元统计分析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数据质控</w:t>
            </w: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搜库完成后，对数据进行质控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QC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样本相关性分析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2.2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总样本PCA分析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代谢物通路及分类注释</w:t>
            </w: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代谢物功能注释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3.1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1KEGG通路注释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3.2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HIMDB分类注释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3.3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LIPID MAPS分类注释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差异代谢物筛选，</w:t>
            </w: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对差异代谢物进行筛选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主成分分析 (PCA)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4.2 偏最小二乘法判别分析 (P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S-DA)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4.3 差异代谢物筛选结果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4.4 差异代谢物火山图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4.5 差异代谢物火柴杆图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蛋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差异代谢物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对差异代谢物进行分析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 差异代谢物Venn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图分析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差异代谢物箱线图分析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5.3 差异代谢物聚类分析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5.4 差异代谢物相关性分析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5.5 差异代谢物和弦图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Z-score分析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KEGG富集分析</w:t>
            </w: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对检测到的差异代谢物进行通路富集分析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KEGG富集结果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KEGG富集气泡图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KEGG富集通路图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.4 KEGG调控网络图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KEGG富集结果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ROC分析</w:t>
            </w: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差异代谢物ROC曲线分析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2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其他分析</w:t>
            </w:r>
          </w:p>
        </w:tc>
        <w:tc>
          <w:tcPr>
            <w:tcW w:w="94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关联分析及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其他个性化分析</w:t>
            </w:r>
          </w:p>
        </w:tc>
        <w:tc>
          <w:tcPr>
            <w:tcW w:w="31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客户提出需求，后台评估后，进行可行性反馈及分析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900" w:leftChars="200" w:right="0" w:rightChars="0" w:hanging="480" w:hangingChars="200"/>
        <w:jc w:val="left"/>
        <w:rPr>
          <w:rFonts w:hint="default" w:ascii="Times New Roman Regular" w:hAnsi="Times New Roman Regular" w:eastAsia="宋体" w:cs="Times New Roman Regular"/>
          <w:b w:val="0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color w:val="000000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b w:val="0"/>
          <w:bCs/>
          <w:color w:val="000000"/>
          <w:sz w:val="21"/>
          <w:szCs w:val="21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/>
          <w:sz w:val="21"/>
          <w:szCs w:val="21"/>
          <w:lang w:val="en-US" w:eastAsia="zh-Hans"/>
        </w:rPr>
        <w:t>.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/>
          <w:sz w:val="21"/>
          <w:szCs w:val="21"/>
          <w:lang w:eastAsia="zh-Hans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bCs/>
          <w:color w:val="000000"/>
          <w:sz w:val="21"/>
          <w:szCs w:val="21"/>
        </w:rPr>
        <w:t>售后服务：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sz w:val="21"/>
          <w:szCs w:val="21"/>
        </w:rPr>
        <w:t>数据验收合格后，至少提供1年的售后服务；提供技术培训及咨询服务；给出文章投稿建议，并提供文章杂志要求的分辨率和大小合格的图表；对审稿人的修回意见提供专业答复供参考；对蛋白组学生物信息进行培训。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szCs w:val="21"/>
        </w:rPr>
      </w:pPr>
      <w:r>
        <w:rPr>
          <w:rFonts w:hint="default" w:ascii="Times New Roman Regular" w:hAnsi="Times New Roman Regular" w:eastAsia="宋体" w:cs="Times New Roman Regular"/>
          <w:b w:val="0"/>
          <w:szCs w:val="21"/>
        </w:rPr>
        <w:t>4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val="en-US" w:eastAsia="zh-Hans"/>
        </w:rPr>
        <w:t>.</w:t>
      </w:r>
      <w:r>
        <w:rPr>
          <w:rFonts w:hint="default" w:ascii="Times New Roman Regular" w:hAnsi="Times New Roman Regular" w:eastAsia="宋体" w:cs="Times New Roman Regular"/>
          <w:b w:val="0"/>
          <w:szCs w:val="21"/>
          <w:lang w:eastAsia="zh-Hans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szCs w:val="21"/>
        </w:rPr>
        <w:t>交付期限：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72" w:leftChars="200" w:right="0" w:rightChars="0" w:hanging="352" w:hangingChars="168"/>
        <w:textAlignment w:val="auto"/>
        <w:outlineLvl w:val="9"/>
        <w:rPr>
          <w:rFonts w:hint="default" w:ascii="Times New Roman Regular" w:hAnsi="Times New Roman Regular" w:eastAsia="宋体" w:cs="Times New Roman Regular"/>
          <w:b w:val="0"/>
          <w:szCs w:val="21"/>
        </w:rPr>
      </w:pPr>
      <w:r>
        <w:rPr>
          <w:rFonts w:hint="default" w:ascii="Times New Roman Regular" w:hAnsi="Times New Roman Regular" w:eastAsia="宋体" w:cs="Times New Roman Regular"/>
          <w:b w:val="0"/>
          <w:color w:val="000000"/>
          <w:sz w:val="21"/>
          <w:szCs w:val="21"/>
        </w:rPr>
        <w:t>承诺在样本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sz w:val="21"/>
          <w:szCs w:val="21"/>
          <w:lang w:val="en-US" w:eastAsia="zh-Hans"/>
        </w:rPr>
        <w:t>检测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sz w:val="21"/>
          <w:szCs w:val="21"/>
        </w:rPr>
        <w:t>合格后</w:t>
      </w:r>
      <w:r>
        <w:rPr>
          <w:rFonts w:hint="default" w:ascii="Times New Roman Regular" w:hAnsi="Times New Roman Regular" w:eastAsia="宋体" w:cs="Times New Roman Regular"/>
          <w:b w:val="0"/>
          <w:color w:val="0000FF"/>
          <w:sz w:val="21"/>
          <w:szCs w:val="21"/>
          <w:highlight w:val="yellow"/>
        </w:rPr>
        <w:t>45</w:t>
      </w:r>
      <w:r>
        <w:rPr>
          <w:rFonts w:hint="default" w:ascii="Times New Roman Regular" w:hAnsi="Times New Roman Regular" w:eastAsia="宋体" w:cs="Times New Roman Regular"/>
          <w:b w:val="0"/>
          <w:color w:val="000000"/>
          <w:sz w:val="21"/>
          <w:szCs w:val="21"/>
        </w:rPr>
        <w:t>个自然日内交付数据</w:t>
      </w:r>
      <w:r>
        <w:rPr>
          <w:rFonts w:hint="default" w:ascii="Times New Roman Regular" w:hAnsi="Times New Roman Regular" w:eastAsia="宋体" w:cs="Times New Roman Regular"/>
          <w:b w:val="0"/>
          <w:szCs w:val="21"/>
        </w:rPr>
        <w:t>。</w:t>
      </w:r>
    </w:p>
    <w:p>
      <w:pPr>
        <w:spacing w:line="360" w:lineRule="auto"/>
        <w:ind w:left="787" w:leftChars="200" w:hanging="367" w:hangingChars="175"/>
        <w:jc w:val="left"/>
        <w:rPr>
          <w:rFonts w:hint="default" w:ascii="Times New Roman Regular" w:hAnsi="Times New Roman Regular" w:eastAsia="宋体" w:cs="Times New Roman Regular"/>
          <w:b w:val="0"/>
        </w:rPr>
      </w:pPr>
    </w:p>
    <w:p>
      <w:pPr>
        <w:pStyle w:val="11"/>
        <w:numPr>
          <w:ilvl w:val="255"/>
          <w:numId w:val="0"/>
        </w:numPr>
        <w:rPr>
          <w:rFonts w:hint="default" w:ascii="Times New Roman Regular" w:hAnsi="Times New Roman Regular" w:eastAsia="宋体" w:cs="Times New Roman Regular"/>
          <w:b w:val="0"/>
          <w:szCs w:val="21"/>
        </w:rPr>
      </w:pPr>
    </w:p>
    <w:p>
      <w:pPr>
        <w:pStyle w:val="11"/>
        <w:ind w:firstLine="0" w:firstLineChars="0"/>
        <w:rPr>
          <w:rFonts w:hint="default" w:ascii="Times New Roman Regular" w:hAnsi="Times New Roman Regular" w:eastAsia="宋体" w:cs="Times New Roman Regular"/>
          <w:b w:val="0"/>
          <w:szCs w:val="21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</w:rPr>
      </w:pPr>
    </w:p>
    <w:p>
      <w:pPr>
        <w:rPr>
          <w:rFonts w:hint="default" w:ascii="Times New Roman Regular" w:hAnsi="Times New Roman Regular" w:eastAsia="宋体" w:cs="Times New Roman Regular"/>
          <w:b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50A0"/>
    <w:multiLevelType w:val="singleLevel"/>
    <w:tmpl w:val="60B850A0"/>
    <w:lvl w:ilvl="0" w:tentative="0">
      <w:start w:val="4"/>
      <w:numFmt w:val="decimal"/>
      <w:suff w:val="nothing"/>
      <w:lvlText w:val="%1）"/>
      <w:lvlJc w:val="left"/>
    </w:lvl>
  </w:abstractNum>
  <w:abstractNum w:abstractNumId="1">
    <w:nsid w:val="636B6E20"/>
    <w:multiLevelType w:val="singleLevel"/>
    <w:tmpl w:val="636B6E2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E2"/>
    <w:rsid w:val="00043F8E"/>
    <w:rsid w:val="001E2C00"/>
    <w:rsid w:val="003A4B71"/>
    <w:rsid w:val="003C29E2"/>
    <w:rsid w:val="004724B9"/>
    <w:rsid w:val="0048768E"/>
    <w:rsid w:val="005F1169"/>
    <w:rsid w:val="00624070"/>
    <w:rsid w:val="00652C76"/>
    <w:rsid w:val="00990AA7"/>
    <w:rsid w:val="00B13692"/>
    <w:rsid w:val="00B41DC1"/>
    <w:rsid w:val="00C634D6"/>
    <w:rsid w:val="00CB4EEB"/>
    <w:rsid w:val="00CF5844"/>
    <w:rsid w:val="00D36693"/>
    <w:rsid w:val="00D57223"/>
    <w:rsid w:val="00DA12E3"/>
    <w:rsid w:val="00EE33B8"/>
    <w:rsid w:val="00EF7641"/>
    <w:rsid w:val="00F16119"/>
    <w:rsid w:val="00F62B20"/>
    <w:rsid w:val="00F633AB"/>
    <w:rsid w:val="13FFEEC6"/>
    <w:rsid w:val="3FFEA234"/>
    <w:rsid w:val="61FF50D5"/>
    <w:rsid w:val="7FF794A3"/>
    <w:rsid w:val="CE519936"/>
    <w:rsid w:val="F3954E46"/>
    <w:rsid w:val="FBB3D7B5"/>
    <w:rsid w:val="FFFD8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0"/>
    <w:pPr>
      <w:spacing w:line="360" w:lineRule="auto"/>
      <w:ind w:firstLine="402" w:firstLineChars="200"/>
    </w:pPr>
    <w:rPr>
      <w:rFonts w:ascii="宋体" w:hAnsi="宋体" w:cs="宋体"/>
      <w:sz w:val="24"/>
      <w:szCs w:val="19"/>
      <w:lang w:val="zh-CN" w:bidi="zh-CN"/>
    </w:rPr>
  </w:style>
  <w:style w:type="paragraph" w:styleId="3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9"/>
    <w:unhideWhenUsed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5"/>
    <w:basedOn w:val="1"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字符"/>
    <w:basedOn w:val="8"/>
    <w:link w:val="2"/>
    <w:qFormat/>
    <w:uiPriority w:val="0"/>
    <w:rPr>
      <w:rFonts w:ascii="宋体" w:hAnsi="宋体" w:eastAsia="宋体" w:cs="宋体"/>
      <w:sz w:val="24"/>
      <w:szCs w:val="19"/>
      <w:lang w:val="zh-CN" w:bidi="zh-CN"/>
    </w:rPr>
  </w:style>
  <w:style w:type="character" w:customStyle="1" w:styleId="15">
    <w:name w:val="标题 字符"/>
    <w:basedOn w:val="8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s1"/>
    <w:basedOn w:val="8"/>
    <w:qFormat/>
    <w:uiPriority w:val="0"/>
    <w:rPr>
      <w:rFonts w:ascii="Times" w:hAnsi="Times" w:eastAsia="Times" w:cs="Times"/>
      <w:sz w:val="21"/>
      <w:szCs w:val="21"/>
    </w:rPr>
  </w:style>
  <w:style w:type="paragraph" w:customStyle="1" w:styleId="17">
    <w:name w:val="列表段落2"/>
    <w:basedOn w:val="1"/>
    <w:qFormat/>
    <w:uiPriority w:val="34"/>
    <w:pPr>
      <w:ind w:firstLine="420" w:firstLineChars="200"/>
    </w:pPr>
  </w:style>
  <w:style w:type="paragraph" w:customStyle="1" w:styleId="18">
    <w:name w:val="_Style 6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8"/>
    <w:link w:val="4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</w:style>
  <w:style w:type="paragraph" w:customStyle="1" w:styleId="2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character" w:customStyle="1" w:styleId="23">
    <w:name w:val="s3"/>
    <w:basedOn w:val="8"/>
    <w:uiPriority w:val="0"/>
    <w:rPr>
      <w:rFonts w:hint="default" w:ascii="helvetica" w:hAnsi="helvetica" w:eastAsia="helvetica" w:cs="helvetica"/>
      <w:sz w:val="23"/>
      <w:szCs w:val="23"/>
    </w:rPr>
  </w:style>
  <w:style w:type="character" w:customStyle="1" w:styleId="24">
    <w:name w:val="s2"/>
    <w:basedOn w:val="8"/>
    <w:uiPriority w:val="0"/>
    <w:rPr>
      <w:rFonts w:hint="default" w:ascii="Times New Roman" w:hAnsi="Times New Roman" w:cs="Times New Roman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580</Words>
  <Characters>3311</Characters>
  <Lines>27</Lines>
  <Paragraphs>7</Paragraphs>
  <ScaleCrop>false</ScaleCrop>
  <LinksUpToDate>false</LinksUpToDate>
  <CharactersWithSpaces>3884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2022-11-05T20:24:00Z</dcterms:created>
  <dc:creator>Administrator</dc:creator>
  <cp:lastModifiedBy>robin</cp:lastModifiedBy>
  <dcterms:modified xsi:type="dcterms:W3CDTF">2022-11-14T17:06:34Z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4297DCB456B84332B1C414E46CB8B3BE</vt:lpwstr>
  </property>
</Properties>
</file>