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B" w:rsidRDefault="00FD08FB">
      <w:pPr>
        <w:jc w:val="center"/>
        <w:rPr>
          <w:b/>
          <w:bCs/>
        </w:rPr>
      </w:pPr>
    </w:p>
    <w:p w:rsidR="00FD08FB" w:rsidRDefault="00210AC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转录组测序分析</w:t>
      </w:r>
      <w:r>
        <w:rPr>
          <w:rFonts w:hint="eastAsia"/>
          <w:b/>
          <w:bCs/>
          <w:sz w:val="30"/>
          <w:szCs w:val="30"/>
        </w:rPr>
        <w:t>招标参数</w:t>
      </w:r>
    </w:p>
    <w:p w:rsidR="00FD08FB" w:rsidRDefault="00FD08FB">
      <w:pPr>
        <w:rPr>
          <w:b/>
          <w:bCs/>
        </w:rPr>
      </w:pPr>
    </w:p>
    <w:p w:rsidR="00FD08FB" w:rsidRDefault="00210ACC">
      <w:pPr>
        <w:pStyle w:val="a7"/>
        <w:numPr>
          <w:ilvl w:val="0"/>
          <w:numId w:val="1"/>
        </w:numPr>
        <w:ind w:firstLineChars="0" w:firstLine="0"/>
        <w:rPr>
          <w:b/>
          <w:bCs/>
        </w:rPr>
      </w:pPr>
      <w:r>
        <w:rPr>
          <w:rFonts w:hint="eastAsia"/>
          <w:b/>
          <w:bCs/>
        </w:rPr>
        <w:t>产品清单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847"/>
        <w:gridCol w:w="942"/>
        <w:gridCol w:w="4423"/>
      </w:tblGrid>
      <w:tr w:rsidR="00FD08FB">
        <w:trPr>
          <w:trHeight w:val="478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  <w:rPr>
                <w:b/>
                <w:lang w:val="de-DE"/>
              </w:rPr>
            </w:pPr>
            <w:r>
              <w:rPr>
                <w:rFonts w:hint="eastAsia"/>
                <w:b/>
              </w:rPr>
              <w:t>技术服务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  <w:rPr>
                <w:b/>
                <w:lang w:val="de-DE"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  <w:rPr>
                <w:b/>
                <w:lang w:val="de-DE"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  <w:rPr>
                <w:b/>
                <w:lang w:val="de-DE"/>
              </w:rPr>
            </w:pPr>
            <w:r>
              <w:rPr>
                <w:rFonts w:hint="eastAsia"/>
                <w:b/>
              </w:rPr>
              <w:t>检测</w:t>
            </w:r>
            <w:r>
              <w:rPr>
                <w:rFonts w:hint="eastAsia"/>
                <w:b/>
              </w:rPr>
              <w:t>参数要求</w:t>
            </w:r>
          </w:p>
        </w:tc>
      </w:tr>
      <w:tr w:rsidR="00FD08FB">
        <w:trPr>
          <w:trHeight w:val="20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</w:pPr>
            <w:bookmarkStart w:id="0" w:name="_GoBack"/>
            <w:bookmarkEnd w:id="0"/>
            <w:r>
              <w:rPr>
                <w:rFonts w:hint="eastAsia"/>
              </w:rPr>
              <w:t>转录组测序分析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FB" w:rsidRDefault="00210ACC">
            <w:pPr>
              <w:spacing w:line="360" w:lineRule="auto"/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FB" w:rsidRDefault="00210ACC">
            <w:pPr>
              <w:spacing w:line="360" w:lineRule="auto"/>
            </w:pPr>
            <w:r>
              <w:rPr>
                <w:rFonts w:hint="eastAsia"/>
              </w:rPr>
              <w:t>RNA</w:t>
            </w:r>
            <w:r>
              <w:rPr>
                <w:rFonts w:hint="eastAsia"/>
              </w:rPr>
              <w:t>提取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建库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测序</w:t>
            </w:r>
            <w:r>
              <w:rPr>
                <w:rFonts w:hint="eastAsia"/>
              </w:rPr>
              <w:t>6G raw data+</w:t>
            </w:r>
            <w:r>
              <w:rPr>
                <w:rFonts w:hint="eastAsia"/>
              </w:rPr>
              <w:t>云流程无限次数分析</w:t>
            </w:r>
            <w:r>
              <w:rPr>
                <w:rFonts w:hint="eastAsia"/>
              </w:rPr>
              <w:tab/>
            </w:r>
          </w:p>
        </w:tc>
      </w:tr>
    </w:tbl>
    <w:p w:rsidR="00FD08FB" w:rsidRDefault="00FD08FB"/>
    <w:p w:rsidR="00FD08FB" w:rsidRDefault="00FD08FB"/>
    <w:p w:rsidR="00FD08FB" w:rsidRDefault="00210ACC">
      <w:pPr>
        <w:spacing w:line="360" w:lineRule="auto"/>
        <w:ind w:firstLineChars="300" w:firstLine="632"/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、技术参数</w:t>
      </w:r>
    </w:p>
    <w:p w:rsidR="00FD08FB" w:rsidRDefault="00210ACC">
      <w:pPr>
        <w:spacing w:line="360" w:lineRule="auto"/>
        <w:ind w:leftChars="200" w:left="420"/>
      </w:pPr>
      <w:r>
        <w:rPr>
          <w:rFonts w:hint="eastAsia"/>
        </w:rPr>
        <w:t>1.</w:t>
      </w:r>
      <w:r>
        <w:rPr>
          <w:rFonts w:hint="eastAsia"/>
        </w:rPr>
        <w:t>利用</w:t>
      </w:r>
      <w:r>
        <w:rPr>
          <w:rFonts w:hint="eastAsia"/>
        </w:rPr>
        <w:t xml:space="preserve">Illumina NovaSeq 6000 </w:t>
      </w:r>
      <w:r>
        <w:rPr>
          <w:rFonts w:hint="eastAsia"/>
        </w:rPr>
        <w:t>测序平台转录组测序，每个样本提供</w:t>
      </w:r>
      <w:r>
        <w:rPr>
          <w:rFonts w:hint="eastAsia"/>
        </w:rPr>
        <w:t>6G raw data</w:t>
      </w:r>
      <w:r>
        <w:rPr>
          <w:rFonts w:hint="eastAsia"/>
        </w:rPr>
        <w:t>数据，最低数据量不少于承诺数据量的</w:t>
      </w:r>
      <w:r>
        <w:rPr>
          <w:rFonts w:hint="eastAsia"/>
        </w:rPr>
        <w:t>98%</w:t>
      </w:r>
      <w:r>
        <w:rPr>
          <w:rFonts w:hint="eastAsia"/>
        </w:rPr>
        <w:t>；</w:t>
      </w:r>
    </w:p>
    <w:p w:rsidR="00FD08FB" w:rsidRDefault="00210ACC">
      <w:pPr>
        <w:spacing w:line="360" w:lineRule="auto"/>
        <w:ind w:leftChars="200" w:left="660" w:hangingChars="100" w:hanging="240"/>
      </w:pPr>
      <w:r>
        <w:rPr>
          <w:rFonts w:ascii="宋体" w:hAnsi="宋体" w:cs="Arial" w:hint="eastAsia"/>
          <w:sz w:val="24"/>
          <w:szCs w:val="24"/>
        </w:rPr>
        <w:t>★</w:t>
      </w:r>
      <w:r>
        <w:rPr>
          <w:rFonts w:hint="eastAsia"/>
        </w:rPr>
        <w:t xml:space="preserve">2. </w:t>
      </w:r>
      <w:r>
        <w:rPr>
          <w:rFonts w:hint="eastAsia"/>
        </w:rPr>
        <w:t>生物信息分析：提供微科盟生科云平台进行交互式分析，下载分析结果等操作</w:t>
      </w:r>
    </w:p>
    <w:p w:rsidR="00FD08FB" w:rsidRDefault="00210ACC">
      <w:pPr>
        <w:spacing w:line="360" w:lineRule="auto"/>
        <w:ind w:firstLineChars="200" w:firstLine="420"/>
      </w:pPr>
      <w:r>
        <w:rPr>
          <w:rFonts w:hint="eastAsia"/>
        </w:rPr>
        <w:t>自由调节分析参数，一键化出图并线上修改；</w:t>
      </w:r>
    </w:p>
    <w:p w:rsidR="00FD08FB" w:rsidRDefault="00210ACC">
      <w:pPr>
        <w:numPr>
          <w:ilvl w:val="0"/>
          <w:numId w:val="2"/>
        </w:numPr>
        <w:spacing w:line="360" w:lineRule="auto"/>
        <w:ind w:firstLineChars="200" w:firstLine="420"/>
      </w:pPr>
      <w:r>
        <w:rPr>
          <w:rFonts w:hint="eastAsia"/>
        </w:rPr>
        <w:t>对原始数据进行去除接头、污染序列及低质量</w:t>
      </w:r>
      <w:r>
        <w:rPr>
          <w:rFonts w:hint="eastAsia"/>
        </w:rPr>
        <w:t xml:space="preserve"> reads </w:t>
      </w:r>
      <w:r>
        <w:rPr>
          <w:rFonts w:hint="eastAsia"/>
        </w:rPr>
        <w:t>的处理</w:t>
      </w:r>
      <w:r>
        <w:rPr>
          <w:rFonts w:hint="eastAsia"/>
        </w:rPr>
        <w:t>；</w:t>
      </w:r>
    </w:p>
    <w:p w:rsidR="00FD08FB" w:rsidRDefault="00210ACC">
      <w:pPr>
        <w:numPr>
          <w:ilvl w:val="1"/>
          <w:numId w:val="2"/>
        </w:numPr>
        <w:spacing w:line="360" w:lineRule="auto"/>
        <w:ind w:leftChars="200" w:left="420"/>
      </w:pPr>
      <w:r>
        <w:rPr>
          <w:rFonts w:hint="eastAsia"/>
        </w:rPr>
        <w:t>数据产出统计及测序数据的成分和质量评估</w:t>
      </w:r>
    </w:p>
    <w:p w:rsidR="00FD08FB" w:rsidRDefault="00210ACC">
      <w:pPr>
        <w:spacing w:line="360" w:lineRule="auto"/>
        <w:ind w:firstLineChars="200" w:firstLine="420"/>
      </w:pPr>
      <w:r>
        <w:rPr>
          <w:rFonts w:hint="eastAsia"/>
        </w:rPr>
        <w:t>3.2</w:t>
      </w:r>
      <w:r>
        <w:rPr>
          <w:rFonts w:hint="eastAsia"/>
        </w:rPr>
        <w:t>参考序列比对分析</w:t>
      </w:r>
    </w:p>
    <w:p w:rsidR="00FD08FB" w:rsidRDefault="00210ACC">
      <w:pPr>
        <w:spacing w:line="360" w:lineRule="auto"/>
        <w:ind w:firstLineChars="200" w:firstLine="420"/>
      </w:pPr>
      <w:r>
        <w:rPr>
          <w:rFonts w:hint="eastAsia"/>
        </w:rPr>
        <w:t>4.</w:t>
      </w:r>
      <w:r>
        <w:rPr>
          <w:rFonts w:ascii="华文楷体" w:eastAsia="华文楷体" w:hAnsi="华文楷体"/>
          <w:kern w:val="0"/>
          <w:szCs w:val="21"/>
        </w:rPr>
        <w:t>可变剪切分析</w:t>
      </w:r>
    </w:p>
    <w:p w:rsidR="00FD08FB" w:rsidRDefault="00210ACC">
      <w:pPr>
        <w:spacing w:line="360" w:lineRule="auto"/>
        <w:ind w:leftChars="200" w:left="420"/>
        <w:rPr>
          <w:rFonts w:ascii="华文楷体" w:eastAsia="华文楷体" w:hAnsi="华文楷体"/>
          <w:kern w:val="0"/>
          <w:szCs w:val="21"/>
        </w:rPr>
      </w:pPr>
      <w:r>
        <w:rPr>
          <w:rFonts w:hint="eastAsia"/>
        </w:rPr>
        <w:t>5.</w:t>
      </w:r>
      <w:r>
        <w:rPr>
          <w:rFonts w:ascii="华文楷体" w:eastAsia="华文楷体" w:hAnsi="华文楷体"/>
          <w:kern w:val="0"/>
          <w:szCs w:val="21"/>
        </w:rPr>
        <w:t>新转录本预测</w:t>
      </w:r>
    </w:p>
    <w:p w:rsidR="00FD08FB" w:rsidRDefault="00210ACC">
      <w:pPr>
        <w:spacing w:line="360" w:lineRule="auto"/>
        <w:ind w:leftChars="200" w:left="420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 w:hint="eastAsia"/>
          <w:kern w:val="0"/>
          <w:szCs w:val="21"/>
        </w:rPr>
        <w:t>6.</w:t>
      </w:r>
      <w:r>
        <w:rPr>
          <w:rFonts w:ascii="华文楷体" w:eastAsia="华文楷体" w:hAnsi="华文楷体"/>
          <w:kern w:val="0"/>
          <w:szCs w:val="21"/>
        </w:rPr>
        <w:t>SNP/InDel</w:t>
      </w:r>
      <w:r>
        <w:rPr>
          <w:rFonts w:ascii="华文楷体" w:eastAsia="华文楷体" w:hAnsi="华文楷体" w:hint="eastAsia"/>
          <w:kern w:val="0"/>
          <w:szCs w:val="21"/>
        </w:rPr>
        <w:t>变异位点</w:t>
      </w:r>
      <w:r>
        <w:rPr>
          <w:rFonts w:ascii="华文楷体" w:eastAsia="华文楷体" w:hAnsi="华文楷体"/>
          <w:kern w:val="0"/>
          <w:szCs w:val="21"/>
        </w:rPr>
        <w:t>分析</w:t>
      </w:r>
    </w:p>
    <w:p w:rsidR="00FD08FB" w:rsidRDefault="00210ACC">
      <w:pPr>
        <w:spacing w:line="360" w:lineRule="auto"/>
        <w:ind w:leftChars="200" w:left="420"/>
        <w:rPr>
          <w:rFonts w:eastAsia="华文楷体"/>
        </w:rPr>
      </w:pPr>
      <w:r>
        <w:rPr>
          <w:rFonts w:hint="eastAsia"/>
        </w:rPr>
        <w:t>7.</w:t>
      </w:r>
      <w:r>
        <w:rPr>
          <w:rFonts w:ascii="华文楷体" w:eastAsia="华文楷体" w:hAnsi="华文楷体"/>
          <w:kern w:val="0"/>
          <w:szCs w:val="21"/>
        </w:rPr>
        <w:t>基因表达</w:t>
      </w:r>
      <w:r>
        <w:rPr>
          <w:rFonts w:ascii="华文楷体" w:eastAsia="华文楷体" w:hAnsi="华文楷体" w:hint="eastAsia"/>
          <w:kern w:val="0"/>
          <w:szCs w:val="21"/>
        </w:rPr>
        <w:t>定量</w:t>
      </w:r>
      <w:r>
        <w:rPr>
          <w:rFonts w:ascii="华文楷体" w:eastAsia="华文楷体" w:hAnsi="华文楷体"/>
          <w:kern w:val="0"/>
          <w:szCs w:val="21"/>
        </w:rPr>
        <w:t>分析</w:t>
      </w:r>
      <w:r>
        <w:rPr>
          <w:rFonts w:ascii="华文楷体" w:eastAsia="华文楷体" w:hAnsi="华文楷体" w:hint="eastAsia"/>
          <w:kern w:val="0"/>
          <w:szCs w:val="21"/>
        </w:rPr>
        <w:t>：</w:t>
      </w:r>
      <w:r>
        <w:rPr>
          <w:rFonts w:ascii="华文楷体" w:eastAsia="华文楷体" w:hAnsi="华文楷体" w:hint="eastAsia"/>
          <w:color w:val="000000"/>
        </w:rPr>
        <w:t>样本基因表达量小提琴图，箱线图、基因表达饱和度曲线、</w:t>
      </w:r>
      <w:r>
        <w:rPr>
          <w:rFonts w:ascii="华文楷体" w:eastAsia="华文楷体" w:hAnsi="华文楷体" w:hint="eastAsia"/>
          <w:color w:val="000000"/>
        </w:rPr>
        <w:t>样本间</w:t>
      </w:r>
      <w:r>
        <w:rPr>
          <w:rFonts w:ascii="华文楷体" w:eastAsia="华文楷体" w:hAnsi="华文楷体" w:hint="eastAsia"/>
          <w:color w:val="000000"/>
        </w:rPr>
        <w:t>PCA</w:t>
      </w:r>
      <w:r>
        <w:rPr>
          <w:rFonts w:ascii="华文楷体" w:eastAsia="华文楷体" w:hAnsi="华文楷体" w:hint="eastAsia"/>
          <w:color w:val="000000"/>
        </w:rPr>
        <w:t>分析</w:t>
      </w:r>
    </w:p>
    <w:p w:rsidR="00FD08FB" w:rsidRDefault="00210ACC">
      <w:pPr>
        <w:spacing w:line="360" w:lineRule="auto"/>
        <w:ind w:left="420"/>
        <w:rPr>
          <w:rFonts w:ascii="华文楷体" w:eastAsia="华文楷体" w:hAnsi="华文楷体"/>
          <w:kern w:val="0"/>
          <w:szCs w:val="21"/>
        </w:rPr>
      </w:pPr>
      <w:r>
        <w:rPr>
          <w:rFonts w:ascii="华文楷体" w:eastAsia="华文楷体" w:hAnsi="华文楷体" w:hint="eastAsia"/>
          <w:kern w:val="0"/>
          <w:szCs w:val="21"/>
        </w:rPr>
        <w:t>8.</w:t>
      </w:r>
      <w:r>
        <w:rPr>
          <w:rFonts w:ascii="华文楷体" w:eastAsia="华文楷体" w:hAnsi="华文楷体"/>
          <w:kern w:val="0"/>
          <w:szCs w:val="21"/>
        </w:rPr>
        <w:t>样本间基因</w:t>
      </w:r>
      <w:r>
        <w:rPr>
          <w:rFonts w:ascii="华文楷体" w:eastAsia="华文楷体" w:hAnsi="华文楷体" w:hint="eastAsia"/>
          <w:kern w:val="0"/>
          <w:szCs w:val="21"/>
        </w:rPr>
        <w:t>表达量</w:t>
      </w:r>
      <w:r>
        <w:rPr>
          <w:rFonts w:ascii="华文楷体" w:eastAsia="华文楷体" w:hAnsi="华文楷体"/>
          <w:kern w:val="0"/>
          <w:szCs w:val="21"/>
        </w:rPr>
        <w:t>的相关性分析</w:t>
      </w:r>
    </w:p>
    <w:p w:rsidR="00FD08FB" w:rsidRDefault="00210ACC">
      <w:pPr>
        <w:spacing w:line="360" w:lineRule="auto"/>
        <w:ind w:left="420"/>
        <w:rPr>
          <w:rFonts w:ascii="华文楷体" w:eastAsia="华文楷体" w:hAnsi="华文楷体"/>
          <w:kern w:val="0"/>
          <w:szCs w:val="21"/>
        </w:rPr>
      </w:pPr>
      <w:r>
        <w:rPr>
          <w:rFonts w:ascii="宋体" w:hAnsi="宋体" w:cs="Arial" w:hint="eastAsia"/>
          <w:sz w:val="24"/>
          <w:szCs w:val="24"/>
        </w:rPr>
        <w:t>★</w:t>
      </w:r>
      <w:r>
        <w:rPr>
          <w:rFonts w:hint="eastAsia"/>
        </w:rPr>
        <w:t>9</w:t>
      </w:r>
      <w:r>
        <w:rPr>
          <w:rFonts w:hint="eastAsia"/>
        </w:rPr>
        <w:t>.</w:t>
      </w:r>
      <w:r>
        <w:rPr>
          <w:rFonts w:ascii="华文楷体" w:eastAsia="华文楷体" w:hAnsi="华文楷体"/>
          <w:kern w:val="0"/>
          <w:szCs w:val="21"/>
        </w:rPr>
        <w:t>基因差异表达分析</w:t>
      </w:r>
      <w:r>
        <w:rPr>
          <w:rFonts w:ascii="华文楷体" w:eastAsia="华文楷体" w:hAnsi="华文楷体" w:hint="eastAsia"/>
          <w:kern w:val="0"/>
          <w:szCs w:val="21"/>
        </w:rPr>
        <w:t>：</w:t>
      </w:r>
      <w:r>
        <w:rPr>
          <w:rFonts w:ascii="华文楷体" w:eastAsia="华文楷体" w:hAnsi="华文楷体"/>
          <w:kern w:val="0"/>
          <w:szCs w:val="21"/>
        </w:rPr>
        <w:t>差异表达基因的</w:t>
      </w:r>
      <w:r>
        <w:rPr>
          <w:rFonts w:ascii="华文楷体" w:eastAsia="华文楷体" w:hAnsi="华文楷体" w:hint="eastAsia"/>
          <w:kern w:val="0"/>
          <w:szCs w:val="21"/>
        </w:rPr>
        <w:t>聚类热图、</w:t>
      </w:r>
      <w:r>
        <w:rPr>
          <w:rFonts w:ascii="华文楷体" w:eastAsia="华文楷体" w:hAnsi="华文楷体"/>
          <w:kern w:val="0"/>
          <w:szCs w:val="21"/>
        </w:rPr>
        <w:t>差异表达基因</w:t>
      </w:r>
      <w:r>
        <w:rPr>
          <w:rFonts w:ascii="华文楷体" w:eastAsia="华文楷体" w:hAnsi="华文楷体" w:hint="eastAsia"/>
          <w:kern w:val="0"/>
          <w:szCs w:val="21"/>
        </w:rPr>
        <w:t>集之间的</w:t>
      </w:r>
      <w:r>
        <w:rPr>
          <w:rFonts w:ascii="华文楷体" w:eastAsia="华文楷体" w:hAnsi="华文楷体" w:hint="eastAsia"/>
          <w:kern w:val="0"/>
          <w:szCs w:val="21"/>
        </w:rPr>
        <w:t>Venn</w:t>
      </w:r>
      <w:r>
        <w:rPr>
          <w:rFonts w:ascii="华文楷体" w:eastAsia="华文楷体" w:hAnsi="华文楷体" w:hint="eastAsia"/>
          <w:kern w:val="0"/>
          <w:szCs w:val="21"/>
        </w:rPr>
        <w:t>图，</w:t>
      </w:r>
      <w:r>
        <w:rPr>
          <w:rFonts w:ascii="华文楷体" w:eastAsia="华文楷体" w:hAnsi="华文楷体" w:hint="eastAsia"/>
          <w:kern w:val="0"/>
          <w:szCs w:val="21"/>
        </w:rPr>
        <w:t>UpSet</w:t>
      </w:r>
      <w:r>
        <w:rPr>
          <w:rFonts w:ascii="华文楷体" w:eastAsia="华文楷体" w:hAnsi="华文楷体" w:hint="eastAsia"/>
          <w:kern w:val="0"/>
          <w:szCs w:val="21"/>
        </w:rPr>
        <w:t>图、</w:t>
      </w:r>
      <w:r>
        <w:rPr>
          <w:rFonts w:ascii="华文楷体" w:eastAsia="华文楷体" w:hAnsi="华文楷体"/>
          <w:kern w:val="0"/>
          <w:szCs w:val="21"/>
        </w:rPr>
        <w:t>差异表达基因的</w:t>
      </w:r>
      <w:r>
        <w:rPr>
          <w:rFonts w:ascii="华文楷体" w:eastAsia="华文楷体" w:hAnsi="华文楷体"/>
          <w:kern w:val="0"/>
          <w:szCs w:val="21"/>
        </w:rPr>
        <w:t>GO</w:t>
      </w:r>
      <w:r>
        <w:rPr>
          <w:rFonts w:ascii="华文楷体" w:eastAsia="华文楷体" w:hAnsi="华文楷体" w:hint="eastAsia"/>
          <w:kern w:val="0"/>
          <w:szCs w:val="21"/>
        </w:rPr>
        <w:t xml:space="preserve"> ORA</w:t>
      </w:r>
      <w:r>
        <w:rPr>
          <w:rFonts w:ascii="华文楷体" w:eastAsia="华文楷体" w:hAnsi="华文楷体"/>
          <w:kern w:val="0"/>
          <w:szCs w:val="21"/>
        </w:rPr>
        <w:t>富集分析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/>
          <w:kern w:val="0"/>
          <w:szCs w:val="21"/>
        </w:rPr>
        <w:t>差异表达基因的</w:t>
      </w:r>
      <w:r>
        <w:rPr>
          <w:rFonts w:ascii="华文楷体" w:eastAsia="华文楷体" w:hAnsi="华文楷体"/>
          <w:kern w:val="0"/>
          <w:szCs w:val="21"/>
        </w:rPr>
        <w:t>KEGG</w:t>
      </w:r>
      <w:r>
        <w:rPr>
          <w:rFonts w:ascii="华文楷体" w:eastAsia="华文楷体" w:hAnsi="华文楷体" w:hint="eastAsia"/>
          <w:kern w:val="0"/>
          <w:szCs w:val="21"/>
        </w:rPr>
        <w:t xml:space="preserve"> ORA</w:t>
      </w:r>
      <w:r>
        <w:rPr>
          <w:rFonts w:ascii="华文楷体" w:eastAsia="华文楷体" w:hAnsi="华文楷体"/>
          <w:kern w:val="0"/>
          <w:szCs w:val="21"/>
        </w:rPr>
        <w:t>富集分析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/>
          <w:kern w:val="0"/>
          <w:szCs w:val="21"/>
        </w:rPr>
        <w:t>GO</w:t>
      </w:r>
      <w:r>
        <w:rPr>
          <w:rFonts w:ascii="华文楷体" w:eastAsia="华文楷体" w:hAnsi="华文楷体" w:hint="eastAsia"/>
          <w:kern w:val="0"/>
          <w:szCs w:val="21"/>
        </w:rPr>
        <w:t xml:space="preserve"> GSEA</w:t>
      </w:r>
      <w:r>
        <w:rPr>
          <w:rFonts w:ascii="华文楷体" w:eastAsia="华文楷体" w:hAnsi="华文楷体"/>
          <w:kern w:val="0"/>
          <w:szCs w:val="21"/>
        </w:rPr>
        <w:t>富集分析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 w:hint="eastAsia"/>
          <w:kern w:val="0"/>
          <w:szCs w:val="21"/>
        </w:rPr>
        <w:t>KEGG GSEA</w:t>
      </w:r>
      <w:r>
        <w:rPr>
          <w:rFonts w:ascii="华文楷体" w:eastAsia="华文楷体" w:hAnsi="华文楷体"/>
          <w:kern w:val="0"/>
          <w:szCs w:val="21"/>
        </w:rPr>
        <w:t>富集分析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 w:hint="eastAsia"/>
          <w:kern w:val="0"/>
          <w:szCs w:val="21"/>
        </w:rPr>
        <w:t>富集条目语义相似性分析</w:t>
      </w:r>
    </w:p>
    <w:p w:rsidR="00FD08FB" w:rsidRDefault="00210ACC">
      <w:pPr>
        <w:spacing w:line="360" w:lineRule="auto"/>
        <w:ind w:left="420"/>
        <w:rPr>
          <w:rFonts w:ascii="华文楷体" w:eastAsia="华文楷体" w:hAnsi="华文楷体"/>
          <w:kern w:val="0"/>
          <w:szCs w:val="21"/>
        </w:rPr>
      </w:pPr>
      <w:r>
        <w:rPr>
          <w:rFonts w:ascii="宋体" w:hAnsi="宋体" w:cs="Arial" w:hint="eastAsia"/>
          <w:sz w:val="24"/>
          <w:szCs w:val="24"/>
        </w:rPr>
        <w:t>★</w:t>
      </w:r>
      <w:r>
        <w:rPr>
          <w:rFonts w:ascii="华文楷体" w:eastAsia="华文楷体" w:hAnsi="华文楷体" w:hint="eastAsia"/>
          <w:kern w:val="0"/>
          <w:szCs w:val="21"/>
        </w:rPr>
        <w:t>10.</w:t>
      </w:r>
      <w:r>
        <w:rPr>
          <w:rFonts w:ascii="华文楷体" w:eastAsia="华文楷体" w:hAnsi="华文楷体"/>
          <w:kern w:val="0"/>
          <w:szCs w:val="21"/>
        </w:rPr>
        <w:t>差异表达基因的蛋白质互作网络分析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/>
          <w:kern w:val="0"/>
          <w:szCs w:val="21"/>
        </w:rPr>
        <w:t>差异表达基因中的转录因子鉴定</w:t>
      </w:r>
      <w:r>
        <w:rPr>
          <w:rFonts w:ascii="华文楷体" w:eastAsia="华文楷体" w:hAnsi="华文楷体" w:hint="eastAsia"/>
          <w:kern w:val="0"/>
          <w:szCs w:val="21"/>
        </w:rPr>
        <w:t>、</w:t>
      </w:r>
      <w:r>
        <w:rPr>
          <w:rFonts w:ascii="华文楷体" w:eastAsia="华文楷体" w:hAnsi="华文楷体" w:hint="eastAsia"/>
          <w:kern w:val="0"/>
          <w:szCs w:val="21"/>
        </w:rPr>
        <w:t>WGCNA</w:t>
      </w:r>
      <w:r>
        <w:rPr>
          <w:rFonts w:ascii="华文楷体" w:eastAsia="华文楷体" w:hAnsi="华文楷体" w:hint="eastAsia"/>
          <w:kern w:val="0"/>
          <w:szCs w:val="21"/>
        </w:rPr>
        <w:t>共表达网络分析</w:t>
      </w:r>
    </w:p>
    <w:p w:rsidR="00FD08FB" w:rsidRDefault="00210ACC">
      <w:pPr>
        <w:numPr>
          <w:ilvl w:val="0"/>
          <w:numId w:val="3"/>
        </w:numPr>
        <w:spacing w:line="360" w:lineRule="auto"/>
        <w:ind w:leftChars="200" w:left="420"/>
      </w:pPr>
      <w:r>
        <w:rPr>
          <w:rFonts w:hint="eastAsia"/>
        </w:rPr>
        <w:t>质保</w:t>
      </w:r>
      <w:r>
        <w:rPr>
          <w:rFonts w:hint="eastAsia"/>
        </w:rPr>
        <w:t>：</w:t>
      </w:r>
      <w:r>
        <w:rPr>
          <w:rFonts w:hint="eastAsia"/>
        </w:rPr>
        <w:t>自</w:t>
      </w:r>
      <w:r>
        <w:rPr>
          <w:rFonts w:hint="eastAsia"/>
        </w:rPr>
        <w:t>分享数据到生科云平台甲方账号后，使用期限为</w:t>
      </w:r>
      <w:r>
        <w:rPr>
          <w:rFonts w:hint="eastAsia"/>
        </w:rPr>
        <w:t>3</w:t>
      </w:r>
      <w:r>
        <w:rPr>
          <w:rFonts w:hint="eastAsia"/>
        </w:rPr>
        <w:t>年</w:t>
      </w:r>
    </w:p>
    <w:p w:rsidR="00FD08FB" w:rsidRDefault="00210ACC">
      <w:pPr>
        <w:numPr>
          <w:ilvl w:val="0"/>
          <w:numId w:val="3"/>
        </w:numPr>
        <w:spacing w:line="360" w:lineRule="auto"/>
        <w:ind w:leftChars="200" w:left="420"/>
      </w:pPr>
      <w:r>
        <w:rPr>
          <w:rFonts w:hint="eastAsia"/>
        </w:rPr>
        <w:t>交货期</w:t>
      </w:r>
      <w:r>
        <w:rPr>
          <w:rFonts w:hint="eastAsia"/>
        </w:rPr>
        <w:t>：</w:t>
      </w:r>
    </w:p>
    <w:p w:rsidR="00FD08FB" w:rsidRDefault="00210ACC">
      <w:pPr>
        <w:spacing w:line="360" w:lineRule="auto"/>
        <w:ind w:leftChars="200" w:left="420"/>
      </w:pPr>
      <w:r>
        <w:rPr>
          <w:rFonts w:hint="eastAsia"/>
        </w:rPr>
        <w:lastRenderedPageBreak/>
        <w:t>11.</w:t>
      </w:r>
      <w:r>
        <w:rPr>
          <w:rFonts w:hint="eastAsia"/>
        </w:rPr>
        <w:t>1</w:t>
      </w:r>
      <w:r>
        <w:rPr>
          <w:rFonts w:hint="eastAsia"/>
        </w:rPr>
        <w:t>样品制备：在收到样本及信息单的次日起计算，</w:t>
      </w:r>
      <w:r>
        <w:rPr>
          <w:rFonts w:hint="eastAsia"/>
        </w:rPr>
        <w:t>5-10</w:t>
      </w:r>
      <w:r>
        <w:rPr>
          <w:rFonts w:hint="eastAsia"/>
        </w:rPr>
        <w:t>个工作日完成</w:t>
      </w:r>
      <w:r>
        <w:rPr>
          <w:rFonts w:hint="eastAsia"/>
        </w:rPr>
        <w:t>RNA</w:t>
      </w:r>
      <w:r>
        <w:rPr>
          <w:rFonts w:hint="eastAsia"/>
        </w:rPr>
        <w:t>抽提和质检工作（样本较多时，抽提和质检时间会有所加长），并将质检报告发送给甲方。</w:t>
      </w:r>
    </w:p>
    <w:p w:rsidR="00FD08FB" w:rsidRDefault="00210ACC">
      <w:pPr>
        <w:spacing w:line="360" w:lineRule="auto"/>
        <w:ind w:leftChars="200" w:left="420"/>
      </w:pPr>
      <w:r>
        <w:rPr>
          <w:rFonts w:hint="eastAsia"/>
        </w:rPr>
        <w:t xml:space="preserve">11.2 </w:t>
      </w:r>
      <w:r>
        <w:rPr>
          <w:rFonts w:hint="eastAsia"/>
        </w:rPr>
        <w:t>Illumina</w:t>
      </w:r>
      <w:r>
        <w:rPr>
          <w:rFonts w:hint="eastAsia"/>
        </w:rPr>
        <w:t>测序：如果所有样本都合格，将对合格的样品直接安排建库测序，</w:t>
      </w:r>
      <w:r>
        <w:rPr>
          <w:rFonts w:hint="eastAsia"/>
        </w:rPr>
        <w:t>15</w:t>
      </w:r>
      <w:r>
        <w:rPr>
          <w:rFonts w:hint="eastAsia"/>
        </w:rPr>
        <w:t>个工作日完成文库构建和测序工作。如有不合格样本，双方沟通是否重新送样或者重新提取样本，以确认下一步的实验。</w:t>
      </w:r>
    </w:p>
    <w:p w:rsidR="00FD08FB" w:rsidRDefault="00210ACC">
      <w:pPr>
        <w:spacing w:line="360" w:lineRule="auto"/>
        <w:ind w:leftChars="200" w:left="420"/>
      </w:pPr>
      <w:r>
        <w:rPr>
          <w:rFonts w:hint="eastAsia"/>
        </w:rPr>
        <w:t xml:space="preserve">11.3 </w:t>
      </w:r>
      <w:r>
        <w:rPr>
          <w:rFonts w:hint="eastAsia"/>
        </w:rPr>
        <w:t>生物信息学分析：测序工作完成后</w:t>
      </w:r>
      <w:r>
        <w:rPr>
          <w:rFonts w:hint="eastAsia"/>
        </w:rPr>
        <w:t>15-20</w:t>
      </w:r>
      <w:r>
        <w:rPr>
          <w:rFonts w:hint="eastAsia"/>
        </w:rPr>
        <w:t>个工作日将数据上传到生科云。可登录生科云账户，进行交互式分析，下载分析结果等操作。</w:t>
      </w:r>
    </w:p>
    <w:p w:rsidR="00FD08FB" w:rsidRDefault="00FD08FB"/>
    <w:sectPr w:rsidR="00FD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ACC" w:rsidRDefault="00210ACC"/>
  </w:endnote>
  <w:endnote w:type="continuationSeparator" w:id="0">
    <w:p w:rsidR="00210ACC" w:rsidRDefault="00210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ACC" w:rsidRDefault="00210ACC"/>
  </w:footnote>
  <w:footnote w:type="continuationSeparator" w:id="0">
    <w:p w:rsidR="00210ACC" w:rsidRDefault="00210A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D324B6"/>
    <w:multiLevelType w:val="singleLevel"/>
    <w:tmpl w:val="D6D324B6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7FF3B63"/>
    <w:multiLevelType w:val="multilevel"/>
    <w:tmpl w:val="17FF3B63"/>
    <w:lvl w:ilvl="0">
      <w:start w:val="1"/>
      <w:numFmt w:val="japaneseCounting"/>
      <w:lvlText w:val="%1、"/>
      <w:lvlJc w:val="left"/>
      <w:pPr>
        <w:ind w:left="63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0D4ECF"/>
    <w:multiLevelType w:val="multilevel"/>
    <w:tmpl w:val="5A0D4ECF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EF33BD"/>
    <w:rsid w:val="000C243E"/>
    <w:rsid w:val="000E56DF"/>
    <w:rsid w:val="002048AE"/>
    <w:rsid w:val="00210ACC"/>
    <w:rsid w:val="003A282A"/>
    <w:rsid w:val="00472496"/>
    <w:rsid w:val="004925EF"/>
    <w:rsid w:val="005F0D97"/>
    <w:rsid w:val="006756B5"/>
    <w:rsid w:val="00702E89"/>
    <w:rsid w:val="00775597"/>
    <w:rsid w:val="007F6BE6"/>
    <w:rsid w:val="008061C9"/>
    <w:rsid w:val="00825A9C"/>
    <w:rsid w:val="00A81108"/>
    <w:rsid w:val="00AD0D8B"/>
    <w:rsid w:val="00B429D9"/>
    <w:rsid w:val="00B9634B"/>
    <w:rsid w:val="00CE334D"/>
    <w:rsid w:val="00CE4745"/>
    <w:rsid w:val="00D1196A"/>
    <w:rsid w:val="00D3577E"/>
    <w:rsid w:val="00D9659A"/>
    <w:rsid w:val="00D97553"/>
    <w:rsid w:val="00E01960"/>
    <w:rsid w:val="00EF33BD"/>
    <w:rsid w:val="00F16358"/>
    <w:rsid w:val="00F77FBB"/>
    <w:rsid w:val="00FB1F8F"/>
    <w:rsid w:val="00FC2914"/>
    <w:rsid w:val="00FD08FB"/>
    <w:rsid w:val="00FE7B47"/>
    <w:rsid w:val="262A7836"/>
    <w:rsid w:val="3B154ED5"/>
    <w:rsid w:val="411C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F37F1"/>
  <w15:docId w15:val="{3734DB95-D842-4161-AB38-91C82E9C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shca-m</cp:lastModifiedBy>
  <cp:revision>2</cp:revision>
  <dcterms:created xsi:type="dcterms:W3CDTF">2023-06-12T06:52:00Z</dcterms:created>
  <dcterms:modified xsi:type="dcterms:W3CDTF">2023-06-12T06:52:00Z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FB4FA8230DB54D039524EC1B19391457</vt:lpwstr>
  </property>
</Properties>
</file>