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2B" w:rsidRDefault="00F25934">
      <w:pPr>
        <w:jc w:val="center"/>
        <w:rPr>
          <w:b/>
          <w:bCs/>
          <w:sz w:val="30"/>
          <w:szCs w:val="30"/>
        </w:rPr>
      </w:pPr>
      <w:r>
        <w:rPr>
          <w:rFonts w:hint="eastAsia"/>
          <w:b/>
          <w:bCs/>
          <w:sz w:val="30"/>
          <w:szCs w:val="30"/>
        </w:rPr>
        <w:t>试剂招标参数</w:t>
      </w:r>
    </w:p>
    <w:p w:rsidR="00E2702B" w:rsidRDefault="00E2702B">
      <w:pPr>
        <w:rPr>
          <w:b/>
          <w:bCs/>
        </w:rPr>
      </w:pPr>
    </w:p>
    <w:p w:rsidR="00E2702B" w:rsidRDefault="00F25934">
      <w:pPr>
        <w:pStyle w:val="a8"/>
        <w:numPr>
          <w:ilvl w:val="0"/>
          <w:numId w:val="1"/>
        </w:numPr>
        <w:tabs>
          <w:tab w:val="left" w:pos="426"/>
        </w:tabs>
        <w:ind w:left="0" w:firstLineChars="0" w:firstLine="0"/>
        <w:rPr>
          <w:b/>
          <w:bCs/>
        </w:rPr>
      </w:pPr>
      <w:r>
        <w:rPr>
          <w:rFonts w:hint="eastAsia"/>
          <w:b/>
          <w:bCs/>
        </w:rPr>
        <w:t>产品清单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584"/>
        <w:gridCol w:w="715"/>
        <w:gridCol w:w="4939"/>
      </w:tblGrid>
      <w:tr w:rsidR="00E2702B">
        <w:trPr>
          <w:trHeight w:val="478"/>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r>
              <w:rPr>
                <w:rFonts w:hint="eastAsia"/>
                <w:b/>
              </w:rPr>
              <w:t>产品名称</w:t>
            </w: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r>
              <w:rPr>
                <w:rFonts w:hint="eastAsia"/>
                <w:b/>
              </w:rPr>
              <w:t>单位</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r>
              <w:rPr>
                <w:rFonts w:hint="eastAsia"/>
                <w:b/>
              </w:rPr>
              <w:t>数量</w:t>
            </w:r>
          </w:p>
        </w:tc>
        <w:tc>
          <w:tcPr>
            <w:tcW w:w="4939"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rPr>
                <w:b/>
                <w:lang w:val="de-DE"/>
              </w:rPr>
            </w:pPr>
            <w:r>
              <w:rPr>
                <w:rFonts w:hint="eastAsia"/>
                <w:b/>
              </w:rPr>
              <w:t>产品简介</w:t>
            </w:r>
          </w:p>
        </w:tc>
      </w:tr>
      <w:tr w:rsidR="00E2702B">
        <w:trPr>
          <w:trHeight w:val="20"/>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免疫球蛋白重链基因（</w:t>
            </w:r>
            <w:r>
              <w:rPr>
                <w:rFonts w:hint="eastAsia"/>
              </w:rPr>
              <w:t>IGH</w:t>
            </w:r>
            <w:r>
              <w:rPr>
                <w:rFonts w:hint="eastAsia"/>
              </w:rPr>
              <w:t>）可变</w:t>
            </w:r>
            <w:r>
              <w:rPr>
                <w:rFonts w:hint="eastAsia"/>
              </w:rPr>
              <w:t>(V)</w:t>
            </w:r>
            <w:r>
              <w:rPr>
                <w:rFonts w:hint="eastAsia"/>
              </w:rPr>
              <w:t>区体细胞超突变检测试剂盒（毛细管电泳测序法）</w:t>
            </w: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盒</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5</w:t>
            </w:r>
          </w:p>
        </w:tc>
        <w:tc>
          <w:tcPr>
            <w:tcW w:w="4939" w:type="dxa"/>
            <w:tcBorders>
              <w:top w:val="single" w:sz="4" w:space="0" w:color="auto"/>
              <w:left w:val="single" w:sz="4" w:space="0" w:color="auto"/>
              <w:bottom w:val="single" w:sz="4" w:space="0" w:color="auto"/>
              <w:right w:val="single" w:sz="4" w:space="0" w:color="auto"/>
            </w:tcBorders>
          </w:tcPr>
          <w:p w:rsidR="00E2702B" w:rsidRDefault="00F25934">
            <w:pPr>
              <w:spacing w:line="360" w:lineRule="auto"/>
            </w:pPr>
            <w:r>
              <w:rPr>
                <w:rFonts w:hint="eastAsia"/>
              </w:rPr>
              <w:t>适用于鉴定免疫球蛋白重链基因（</w:t>
            </w:r>
            <w:r>
              <w:rPr>
                <w:rFonts w:hint="eastAsia"/>
              </w:rPr>
              <w:t>IGH</w:t>
            </w:r>
            <w:r>
              <w:rPr>
                <w:rFonts w:hint="eastAsia"/>
              </w:rPr>
              <w:t>）的克隆重排，以及识别可变（</w:t>
            </w:r>
            <w:r>
              <w:rPr>
                <w:rFonts w:hint="eastAsia"/>
              </w:rPr>
              <w:t>V</w:t>
            </w:r>
            <w:r>
              <w:rPr>
                <w:rFonts w:hint="eastAsia"/>
              </w:rPr>
              <w:t>）区基因序列中体细胞的突变状态。大于</w:t>
            </w:r>
            <w:r>
              <w:rPr>
                <w:rFonts w:hint="eastAsia"/>
              </w:rPr>
              <w:t>2</w:t>
            </w:r>
            <w:r>
              <w:rPr>
                <w:rFonts w:hint="eastAsia"/>
              </w:rPr>
              <w:t>％的突</w:t>
            </w:r>
            <w:bookmarkStart w:id="0" w:name="_GoBack"/>
            <w:bookmarkEnd w:id="0"/>
            <w:r>
              <w:rPr>
                <w:rFonts w:hint="eastAsia"/>
              </w:rPr>
              <w:t>变频率将被认为已突变，小于</w:t>
            </w:r>
            <w:r>
              <w:rPr>
                <w:rFonts w:hint="eastAsia"/>
              </w:rPr>
              <w:t>2</w:t>
            </w:r>
            <w:r>
              <w:rPr>
                <w:rFonts w:hint="eastAsia"/>
              </w:rPr>
              <w:t>％的突变频率将被认为未突变</w:t>
            </w:r>
            <w:r>
              <w:rPr>
                <w:rFonts w:hint="eastAsia"/>
              </w:rPr>
              <w:t>,</w:t>
            </w:r>
            <w:r>
              <w:rPr>
                <w:rFonts w:hint="eastAsia"/>
              </w:rPr>
              <w:t>是指导慢性淋巴细胞白血病（</w:t>
            </w:r>
            <w:r>
              <w:rPr>
                <w:rFonts w:hint="eastAsia"/>
              </w:rPr>
              <w:t>CLL</w:t>
            </w:r>
            <w:r>
              <w:rPr>
                <w:rFonts w:hint="eastAsia"/>
              </w:rPr>
              <w:t>）和小淋巴细胞淋巴瘤（</w:t>
            </w:r>
            <w:r>
              <w:rPr>
                <w:rFonts w:hint="eastAsia"/>
              </w:rPr>
              <w:t>SLL</w:t>
            </w:r>
            <w:r>
              <w:rPr>
                <w:rFonts w:hint="eastAsia"/>
              </w:rPr>
              <w:t>）预后的重要指标。</w:t>
            </w:r>
          </w:p>
        </w:tc>
      </w:tr>
      <w:tr w:rsidR="00E2702B">
        <w:trPr>
          <w:trHeight w:val="20"/>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pPr>
            <w:r>
              <w:t>凝胶提取试剂盒</w:t>
            </w: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盒</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3</w:t>
            </w:r>
          </w:p>
        </w:tc>
        <w:tc>
          <w:tcPr>
            <w:tcW w:w="4939" w:type="dxa"/>
            <w:tcBorders>
              <w:top w:val="single" w:sz="4" w:space="0" w:color="auto"/>
              <w:left w:val="single" w:sz="4" w:space="0" w:color="auto"/>
              <w:bottom w:val="single" w:sz="4" w:space="0" w:color="auto"/>
              <w:right w:val="single" w:sz="4" w:space="0" w:color="auto"/>
            </w:tcBorders>
          </w:tcPr>
          <w:p w:rsidR="00E2702B" w:rsidRDefault="00F25934">
            <w:pPr>
              <w:spacing w:line="360" w:lineRule="auto"/>
              <w:rPr>
                <w:rFonts w:eastAsia="微软雅黑"/>
              </w:rPr>
            </w:pPr>
            <w:r>
              <w:rPr>
                <w:rFonts w:ascii="微软雅黑" w:eastAsia="微软雅黑" w:hAnsi="微软雅黑" w:hint="eastAsia"/>
              </w:rPr>
              <w:t>去除 DNA 样品中的核苷酸、酶、盐、琼脂糖、溴化</w:t>
            </w:r>
            <w:proofErr w:type="gramStart"/>
            <w:r>
              <w:rPr>
                <w:rFonts w:ascii="微软雅黑" w:eastAsia="微软雅黑" w:hAnsi="微软雅黑" w:hint="eastAsia"/>
              </w:rPr>
              <w:t>乙锭和其他</w:t>
            </w:r>
            <w:proofErr w:type="gramEnd"/>
            <w:r>
              <w:rPr>
                <w:rFonts w:ascii="微软雅黑" w:eastAsia="微软雅黑" w:hAnsi="微软雅黑" w:hint="eastAsia"/>
              </w:rPr>
              <w:t>杂质</w:t>
            </w:r>
            <w:r w:rsidRPr="00C314D5">
              <w:rPr>
                <w:rFonts w:ascii="微软雅黑" w:eastAsia="微软雅黑" w:hAnsi="微软雅黑" w:hint="eastAsia"/>
                <w:szCs w:val="21"/>
              </w:rPr>
              <w:t>。</w:t>
            </w:r>
            <w:r>
              <w:rPr>
                <w:rFonts w:ascii="微软雅黑" w:eastAsia="微软雅黑" w:hAnsi="微软雅黑" w:cs="微软雅黑"/>
                <w:color w:val="000000"/>
                <w:szCs w:val="21"/>
                <w:shd w:val="clear" w:color="auto" w:fill="FFFFFF"/>
              </w:rPr>
              <w:t xml:space="preserve">纯化 70 </w:t>
            </w:r>
            <w:proofErr w:type="spellStart"/>
            <w:r>
              <w:rPr>
                <w:rFonts w:ascii="微软雅黑" w:eastAsia="微软雅黑" w:hAnsi="微软雅黑" w:cs="微软雅黑"/>
                <w:color w:val="000000"/>
                <w:szCs w:val="21"/>
                <w:shd w:val="clear" w:color="auto" w:fill="FFFFFF"/>
              </w:rPr>
              <w:t>bp</w:t>
            </w:r>
            <w:proofErr w:type="spellEnd"/>
            <w:r>
              <w:rPr>
                <w:rFonts w:ascii="微软雅黑" w:eastAsia="微软雅黑" w:hAnsi="微软雅黑" w:cs="微软雅黑"/>
                <w:color w:val="000000"/>
                <w:szCs w:val="21"/>
                <w:shd w:val="clear" w:color="auto" w:fill="FFFFFF"/>
              </w:rPr>
              <w:t xml:space="preserve"> – 4 kb 的高浓度 DNA</w:t>
            </w:r>
            <w:r>
              <w:rPr>
                <w:rFonts w:ascii="微软雅黑" w:eastAsia="微软雅黑" w:hAnsi="微软雅黑" w:cs="微软雅黑" w:hint="eastAsia"/>
                <w:color w:val="000000"/>
                <w:szCs w:val="21"/>
                <w:shd w:val="clear" w:color="auto" w:fill="FFFFFF"/>
              </w:rPr>
              <w:t>。</w:t>
            </w:r>
          </w:p>
        </w:tc>
      </w:tr>
      <w:tr w:rsidR="00E2702B">
        <w:trPr>
          <w:trHeight w:val="20"/>
        </w:trPr>
        <w:tc>
          <w:tcPr>
            <w:tcW w:w="2517"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pPr>
            <w:r>
              <w:rPr>
                <w:b/>
                <w:bCs/>
              </w:rPr>
              <w:t>高分辨率琼脂糖</w:t>
            </w:r>
          </w:p>
          <w:p w:rsidR="00E2702B" w:rsidRDefault="00E2702B">
            <w:pPr>
              <w:spacing w:line="360" w:lineRule="auto"/>
            </w:pPr>
          </w:p>
        </w:tc>
        <w:tc>
          <w:tcPr>
            <w:tcW w:w="584"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瓶</w:t>
            </w:r>
          </w:p>
        </w:tc>
        <w:tc>
          <w:tcPr>
            <w:tcW w:w="715" w:type="dxa"/>
            <w:tcBorders>
              <w:top w:val="single" w:sz="4" w:space="0" w:color="auto"/>
              <w:left w:val="single" w:sz="4" w:space="0" w:color="auto"/>
              <w:bottom w:val="single" w:sz="4" w:space="0" w:color="auto"/>
              <w:right w:val="single" w:sz="4" w:space="0" w:color="auto"/>
            </w:tcBorders>
            <w:vAlign w:val="center"/>
          </w:tcPr>
          <w:p w:rsidR="00E2702B" w:rsidRDefault="00F25934">
            <w:pPr>
              <w:spacing w:line="360" w:lineRule="auto"/>
              <w:jc w:val="center"/>
            </w:pPr>
            <w:r>
              <w:rPr>
                <w:rFonts w:hint="eastAsia"/>
              </w:rPr>
              <w:t>1</w:t>
            </w:r>
          </w:p>
        </w:tc>
        <w:tc>
          <w:tcPr>
            <w:tcW w:w="4939" w:type="dxa"/>
            <w:tcBorders>
              <w:top w:val="single" w:sz="4" w:space="0" w:color="auto"/>
              <w:left w:val="single" w:sz="4" w:space="0" w:color="auto"/>
              <w:bottom w:val="single" w:sz="4" w:space="0" w:color="auto"/>
              <w:right w:val="single" w:sz="4" w:space="0" w:color="auto"/>
            </w:tcBorders>
          </w:tcPr>
          <w:p w:rsidR="00E2702B" w:rsidRDefault="00F25934">
            <w:pPr>
              <w:spacing w:line="360" w:lineRule="auto"/>
            </w:pPr>
            <w:r>
              <w:rPr>
                <w:rFonts w:ascii="Segoe UI" w:hAnsi="Segoe UI" w:cs="Segoe UI"/>
                <w:color w:val="333333"/>
                <w:shd w:val="clear" w:color="auto" w:fill="FFFFFF"/>
              </w:rPr>
              <w:t> </w:t>
            </w:r>
            <w:r>
              <w:rPr>
                <w:rFonts w:ascii="Segoe UI" w:hAnsi="Segoe UI" w:cs="Segoe UI" w:hint="eastAsia"/>
                <w:color w:val="333333"/>
                <w:shd w:val="clear" w:color="auto" w:fill="FFFFFF"/>
              </w:rPr>
              <w:t>用于</w:t>
            </w:r>
            <w:r>
              <w:rPr>
                <w:rFonts w:ascii="Segoe UI" w:hAnsi="Segoe UI" w:cs="Segoe UI"/>
                <w:color w:val="333333"/>
                <w:shd w:val="clear" w:color="auto" w:fill="FFFFFF"/>
              </w:rPr>
              <w:t>小片段</w:t>
            </w:r>
            <w:r>
              <w:rPr>
                <w:rFonts w:ascii="Segoe UI" w:hAnsi="Segoe UI" w:cs="Segoe UI"/>
                <w:color w:val="333333"/>
                <w:shd w:val="clear" w:color="auto" w:fill="FFFFFF"/>
              </w:rPr>
              <w:t>PCR</w:t>
            </w:r>
            <w:r>
              <w:rPr>
                <w:rFonts w:ascii="Segoe UI" w:hAnsi="Segoe UI" w:cs="Segoe UI"/>
                <w:color w:val="333333"/>
                <w:shd w:val="clear" w:color="auto" w:fill="FFFFFF"/>
              </w:rPr>
              <w:t>产物分析、</w:t>
            </w:r>
            <w:r>
              <w:rPr>
                <w:rFonts w:ascii="Segoe UI" w:hAnsi="Segoe UI" w:cs="Segoe UI"/>
                <w:color w:val="333333"/>
                <w:shd w:val="clear" w:color="auto" w:fill="FFFFFF"/>
              </w:rPr>
              <w:t>STR</w:t>
            </w:r>
            <w:r>
              <w:rPr>
                <w:rFonts w:ascii="Segoe UI" w:hAnsi="Segoe UI" w:cs="Segoe UI"/>
                <w:color w:val="333333"/>
                <w:shd w:val="clear" w:color="auto" w:fill="FFFFFF"/>
              </w:rPr>
              <w:t>分析、</w:t>
            </w:r>
            <w:r>
              <w:rPr>
                <w:rFonts w:ascii="Segoe UI" w:hAnsi="Segoe UI" w:cs="Segoe UI"/>
                <w:color w:val="333333"/>
                <w:shd w:val="clear" w:color="auto" w:fill="FFFFFF"/>
              </w:rPr>
              <w:t>RT-PCR</w:t>
            </w:r>
            <w:r>
              <w:rPr>
                <w:rFonts w:ascii="Segoe UI" w:hAnsi="Segoe UI" w:cs="Segoe UI"/>
                <w:color w:val="333333"/>
                <w:shd w:val="clear" w:color="auto" w:fill="FFFFFF"/>
              </w:rPr>
              <w:t>。</w:t>
            </w:r>
          </w:p>
        </w:tc>
      </w:tr>
    </w:tbl>
    <w:p w:rsidR="00E2702B" w:rsidRDefault="00E2702B"/>
    <w:p w:rsidR="00E2702B" w:rsidRDefault="00F25934">
      <w:pPr>
        <w:spacing w:line="360" w:lineRule="auto"/>
        <w:rPr>
          <w:b/>
          <w:bCs/>
        </w:rPr>
      </w:pPr>
      <w:r>
        <w:rPr>
          <w:rFonts w:hint="eastAsia"/>
          <w:b/>
          <w:bCs/>
        </w:rPr>
        <w:t>二、技术参数（自行修改）</w:t>
      </w:r>
    </w:p>
    <w:p w:rsidR="00E2702B" w:rsidRDefault="00F25934">
      <w:pPr>
        <w:spacing w:line="360" w:lineRule="auto"/>
        <w:ind w:firstLineChars="200" w:firstLine="422"/>
        <w:rPr>
          <w:b/>
        </w:rPr>
      </w:pPr>
      <w:r>
        <w:rPr>
          <w:rFonts w:hint="eastAsia"/>
          <w:b/>
        </w:rPr>
        <w:t xml:space="preserve">1. </w:t>
      </w:r>
      <w:r>
        <w:rPr>
          <w:rFonts w:hint="eastAsia"/>
          <w:b/>
        </w:rPr>
        <w:t>投标人资质：（供参考！）</w:t>
      </w:r>
    </w:p>
    <w:p w:rsidR="00E2702B" w:rsidRDefault="00F25934">
      <w:pPr>
        <w:pStyle w:val="a8"/>
        <w:numPr>
          <w:ilvl w:val="0"/>
          <w:numId w:val="2"/>
        </w:numPr>
        <w:spacing w:line="360" w:lineRule="auto"/>
        <w:ind w:firstLineChars="0"/>
      </w:pPr>
      <w:r>
        <w:rPr>
          <w:rFonts w:hint="eastAsia"/>
        </w:rPr>
        <w:t>投标人必须具有独立法人资格（提供营业执照复印件）。</w:t>
      </w:r>
    </w:p>
    <w:p w:rsidR="00E2702B" w:rsidRDefault="00F25934">
      <w:pPr>
        <w:pStyle w:val="a8"/>
        <w:numPr>
          <w:ilvl w:val="0"/>
          <w:numId w:val="2"/>
        </w:numPr>
        <w:spacing w:line="360" w:lineRule="auto"/>
        <w:ind w:firstLineChars="0"/>
      </w:pPr>
      <w:r>
        <w:rPr>
          <w:rFonts w:hint="eastAsia"/>
        </w:rPr>
        <w:t>投标人必须是所投产品的制造商或者合法代理商或者合法授权供应商（提供相关证明复印件）。</w:t>
      </w:r>
    </w:p>
    <w:p w:rsidR="00E2702B" w:rsidRDefault="00F25934">
      <w:pPr>
        <w:pStyle w:val="a8"/>
        <w:numPr>
          <w:ilvl w:val="0"/>
          <w:numId w:val="2"/>
        </w:numPr>
        <w:spacing w:line="360" w:lineRule="auto"/>
        <w:ind w:firstLineChars="0"/>
      </w:pPr>
      <w:r>
        <w:rPr>
          <w:rFonts w:hint="eastAsia"/>
        </w:rPr>
        <w:t>投标人必须具有《医疗器械生产企业许可证》或者《医疗器械经营企业许可证》（提供复印件）。</w:t>
      </w:r>
    </w:p>
    <w:p w:rsidR="00E2702B" w:rsidRDefault="00F25934">
      <w:pPr>
        <w:pStyle w:val="a8"/>
        <w:numPr>
          <w:ilvl w:val="0"/>
          <w:numId w:val="3"/>
        </w:numPr>
        <w:spacing w:line="360" w:lineRule="auto"/>
        <w:ind w:firstLineChars="0"/>
        <w:rPr>
          <w:b/>
        </w:rPr>
      </w:pPr>
      <w:r>
        <w:rPr>
          <w:b/>
        </w:rPr>
        <w:t>技术参数</w:t>
      </w:r>
      <w:r>
        <w:rPr>
          <w:rFonts w:hint="eastAsia"/>
          <w:b/>
        </w:rPr>
        <w:t>：</w:t>
      </w:r>
    </w:p>
    <w:p w:rsidR="00E2702B" w:rsidRDefault="00F25934">
      <w:pPr>
        <w:pStyle w:val="a8"/>
        <w:numPr>
          <w:ilvl w:val="255"/>
          <w:numId w:val="0"/>
        </w:numPr>
        <w:spacing w:line="360" w:lineRule="auto"/>
        <w:ind w:firstLineChars="300" w:firstLine="632"/>
        <w:rPr>
          <w:b/>
        </w:rPr>
      </w:pPr>
      <w:r>
        <w:rPr>
          <w:rFonts w:hint="eastAsia"/>
          <w:b/>
        </w:rPr>
        <w:t xml:space="preserve">2.1 </w:t>
      </w:r>
      <w:r>
        <w:rPr>
          <w:rFonts w:hint="eastAsia"/>
        </w:rPr>
        <w:t>免疫球蛋白重链基因（</w:t>
      </w:r>
      <w:r>
        <w:rPr>
          <w:rFonts w:hint="eastAsia"/>
        </w:rPr>
        <w:t>IGH</w:t>
      </w:r>
      <w:r>
        <w:rPr>
          <w:rFonts w:hint="eastAsia"/>
        </w:rPr>
        <w:t>）可变</w:t>
      </w:r>
      <w:r>
        <w:rPr>
          <w:rFonts w:hint="eastAsia"/>
        </w:rPr>
        <w:t>(V)</w:t>
      </w:r>
      <w:r>
        <w:rPr>
          <w:rFonts w:hint="eastAsia"/>
        </w:rPr>
        <w:t>区体细胞超突变检测试剂盒</w:t>
      </w:r>
    </w:p>
    <w:p w:rsidR="00E2702B" w:rsidRDefault="00F25934">
      <w:pPr>
        <w:pStyle w:val="a8"/>
        <w:numPr>
          <w:ilvl w:val="0"/>
          <w:numId w:val="4"/>
        </w:numPr>
        <w:spacing w:line="360" w:lineRule="auto"/>
        <w:ind w:rightChars="100" w:right="210" w:firstLineChars="0"/>
        <w:rPr>
          <w:rStyle w:val="fontstyle01"/>
          <w:rFonts w:ascii="Calibri" w:hAnsi="Calibri" w:hint="default"/>
          <w:color w:val="auto"/>
          <w:sz w:val="21"/>
        </w:rPr>
      </w:pPr>
      <w:r>
        <w:rPr>
          <w:rStyle w:val="fontstyle01"/>
          <w:rFonts w:hint="default"/>
        </w:rPr>
        <w:t xml:space="preserve">扩增位于 </w:t>
      </w:r>
      <w:r>
        <w:rPr>
          <w:rStyle w:val="fontstyle21"/>
        </w:rPr>
        <w:t xml:space="preserve">IGH </w:t>
      </w:r>
      <w:r>
        <w:rPr>
          <w:rStyle w:val="fontstyle01"/>
          <w:rFonts w:hint="default"/>
        </w:rPr>
        <w:t>基因上游前导（</w:t>
      </w:r>
      <w:r>
        <w:rPr>
          <w:rStyle w:val="fontstyle21"/>
        </w:rPr>
        <w:t>VHL</w:t>
      </w:r>
      <w:r>
        <w:rPr>
          <w:rStyle w:val="fontstyle01"/>
          <w:rFonts w:hint="default"/>
        </w:rPr>
        <w:t xml:space="preserve">）区或框架 </w:t>
      </w:r>
      <w:r>
        <w:rPr>
          <w:rStyle w:val="fontstyle21"/>
        </w:rPr>
        <w:t>1</w:t>
      </w:r>
      <w:r>
        <w:rPr>
          <w:rStyle w:val="fontstyle01"/>
          <w:rFonts w:hint="default"/>
        </w:rPr>
        <w:t>（</w:t>
      </w:r>
      <w:r>
        <w:rPr>
          <w:rStyle w:val="fontstyle21"/>
        </w:rPr>
        <w:t>FR1</w:t>
      </w:r>
      <w:r>
        <w:rPr>
          <w:rStyle w:val="fontstyle01"/>
          <w:rFonts w:hint="default"/>
        </w:rPr>
        <w:t>）区和下游结合（</w:t>
      </w:r>
      <w:r>
        <w:rPr>
          <w:rStyle w:val="fontstyle21"/>
        </w:rPr>
        <w:t>J</w:t>
      </w:r>
      <w:r>
        <w:rPr>
          <w:rStyle w:val="fontstyle01"/>
          <w:rFonts w:hint="default"/>
        </w:rPr>
        <w:t xml:space="preserve">）区之间的基因组 </w:t>
      </w:r>
      <w:r>
        <w:rPr>
          <w:rStyle w:val="fontstyle21"/>
        </w:rPr>
        <w:t xml:space="preserve">DNA </w:t>
      </w:r>
      <w:r>
        <w:rPr>
          <w:rStyle w:val="fontstyle01"/>
          <w:rFonts w:hint="default"/>
        </w:rPr>
        <w:t xml:space="preserve">或 </w:t>
      </w:r>
      <w:proofErr w:type="spellStart"/>
      <w:r>
        <w:rPr>
          <w:rStyle w:val="fontstyle21"/>
        </w:rPr>
        <w:t>cDNA</w:t>
      </w:r>
      <w:proofErr w:type="spellEnd"/>
      <w:r>
        <w:rPr>
          <w:rStyle w:val="fontstyle01"/>
          <w:rFonts w:hint="default"/>
        </w:rPr>
        <w:t>。试剂</w:t>
      </w:r>
      <w:proofErr w:type="gramStart"/>
      <w:r>
        <w:rPr>
          <w:rStyle w:val="fontstyle01"/>
          <w:rFonts w:hint="default"/>
        </w:rPr>
        <w:t>盒采用</w:t>
      </w:r>
      <w:proofErr w:type="gramEnd"/>
      <w:r>
        <w:rPr>
          <w:rStyle w:val="fontstyle01"/>
          <w:rFonts w:hint="default"/>
        </w:rPr>
        <w:t xml:space="preserve">两管不同的 </w:t>
      </w:r>
      <w:r>
        <w:rPr>
          <w:rStyle w:val="fontstyle21"/>
        </w:rPr>
        <w:t>master mix</w:t>
      </w:r>
      <w:r>
        <w:rPr>
          <w:rStyle w:val="fontstyle01"/>
          <w:rFonts w:hint="default"/>
        </w:rPr>
        <w:t xml:space="preserve">： </w:t>
      </w:r>
      <w:proofErr w:type="spellStart"/>
      <w:r>
        <w:rPr>
          <w:rStyle w:val="fontstyle21"/>
        </w:rPr>
        <w:t>Hypermutation</w:t>
      </w:r>
      <w:proofErr w:type="spellEnd"/>
      <w:r>
        <w:rPr>
          <w:rStyle w:val="fontstyle21"/>
        </w:rPr>
        <w:t xml:space="preserve"> Mix 1 v2.0 </w:t>
      </w:r>
      <w:r>
        <w:rPr>
          <w:rStyle w:val="fontstyle01"/>
          <w:rFonts w:hint="default"/>
        </w:rPr>
        <w:t>和</w:t>
      </w:r>
      <w:proofErr w:type="spellStart"/>
      <w:r>
        <w:rPr>
          <w:rStyle w:val="fontstyle21"/>
        </w:rPr>
        <w:t>Hypermutation</w:t>
      </w:r>
      <w:proofErr w:type="spellEnd"/>
      <w:r>
        <w:rPr>
          <w:rStyle w:val="fontstyle21"/>
        </w:rPr>
        <w:t xml:space="preserve"> Mix 2 v2.0</w:t>
      </w:r>
      <w:r>
        <w:rPr>
          <w:rStyle w:val="fontstyle01"/>
          <w:rFonts w:hint="default"/>
        </w:rPr>
        <w:t xml:space="preserve">。 </w:t>
      </w:r>
      <w:proofErr w:type="spellStart"/>
      <w:r>
        <w:rPr>
          <w:rStyle w:val="fontstyle21"/>
        </w:rPr>
        <w:t>Hypermutation</w:t>
      </w:r>
      <w:proofErr w:type="spellEnd"/>
      <w:r>
        <w:rPr>
          <w:rStyle w:val="fontstyle21"/>
        </w:rPr>
        <w:t xml:space="preserve"> Mix 1 v2.0 </w:t>
      </w:r>
      <w:r>
        <w:rPr>
          <w:rStyle w:val="fontstyle01"/>
          <w:rFonts w:hint="default"/>
        </w:rPr>
        <w:t>靶序列位于前导区和结合区之间。</w:t>
      </w:r>
    </w:p>
    <w:p w:rsidR="00E2702B" w:rsidRDefault="00F25934">
      <w:pPr>
        <w:pStyle w:val="a8"/>
        <w:numPr>
          <w:ilvl w:val="0"/>
          <w:numId w:val="4"/>
        </w:numPr>
        <w:spacing w:line="360" w:lineRule="auto"/>
        <w:ind w:rightChars="100" w:right="210" w:firstLineChars="0"/>
        <w:rPr>
          <w:rStyle w:val="fontstyle01"/>
          <w:rFonts w:ascii="Calibri" w:hAnsi="Calibri" w:hint="default"/>
          <w:color w:val="auto"/>
          <w:sz w:val="21"/>
        </w:rPr>
      </w:pPr>
      <w:r>
        <w:rPr>
          <w:rStyle w:val="fontstyle01"/>
          <w:rFonts w:hint="default"/>
        </w:rPr>
        <w:lastRenderedPageBreak/>
        <w:t>差异荧光检测</w:t>
      </w:r>
      <w:r>
        <w:rPr>
          <w:rFonts w:hint="eastAsia"/>
          <w:color w:val="000000"/>
          <w:sz w:val="22"/>
        </w:rPr>
        <w:br/>
      </w:r>
      <w:r>
        <w:rPr>
          <w:rStyle w:val="fontstyle01"/>
          <w:rFonts w:hint="default"/>
        </w:rPr>
        <w:t>差异荧光检测常被用于使用毛细管电泳仪分析不同大小的扩增产物。这种检测系统可产生前所未有的灵敏度，单核苷酸分辨率，差异产物检测和相对定量。而且，基本可以淘汰琼脂糖和聚丙烯酰胺凝胶以及溴化乙锭等致癌物的使用。此外，差异检测能够实现对引物特异性产物的准确、重复和客观判读。使用毛细管电泳确定大小的</w:t>
      </w:r>
      <w:proofErr w:type="gramStart"/>
      <w:r>
        <w:rPr>
          <w:rStyle w:val="fontstyle01"/>
          <w:rFonts w:hint="default"/>
        </w:rPr>
        <w:t>批内和批间</w:t>
      </w:r>
      <w:proofErr w:type="gramEnd"/>
      <w:r>
        <w:rPr>
          <w:rStyle w:val="fontstyle01"/>
          <w:rFonts w:hint="default"/>
        </w:rPr>
        <w:t xml:space="preserve">重现性可达到约 1-2 </w:t>
      </w:r>
      <w:proofErr w:type="gramStart"/>
      <w:r>
        <w:rPr>
          <w:rStyle w:val="fontstyle01"/>
          <w:rFonts w:hint="default"/>
        </w:rPr>
        <w:t>个</w:t>
      </w:r>
      <w:proofErr w:type="gramEnd"/>
      <w:r>
        <w:rPr>
          <w:rStyle w:val="fontstyle01"/>
          <w:rFonts w:hint="default"/>
        </w:rPr>
        <w:t>核苷酸。这一重现性和灵敏度结合样本数据的自动存储可实现对不同时间段个体患者数据的监测、追踪和比较。</w:t>
      </w:r>
    </w:p>
    <w:p w:rsidR="00E2702B" w:rsidRDefault="00F25934">
      <w:pPr>
        <w:pStyle w:val="a8"/>
        <w:numPr>
          <w:ilvl w:val="0"/>
          <w:numId w:val="4"/>
        </w:numPr>
        <w:spacing w:line="360" w:lineRule="auto"/>
        <w:ind w:rightChars="100" w:right="210" w:firstLineChars="0"/>
      </w:pPr>
      <w:r>
        <w:rPr>
          <w:rFonts w:ascii="Calibri-Bold" w:hAnsi="Calibri-Bold"/>
          <w:b/>
          <w:bCs/>
          <w:color w:val="000000"/>
          <w:sz w:val="22"/>
        </w:rPr>
        <w:t xml:space="preserve">IGH </w:t>
      </w:r>
      <w:r>
        <w:rPr>
          <w:rFonts w:ascii="宋体" w:hAnsi="宋体"/>
          <w:color w:val="000000"/>
          <w:sz w:val="22"/>
        </w:rPr>
        <w:t>体细胞超突变（</w:t>
      </w:r>
      <w:r>
        <w:rPr>
          <w:rFonts w:ascii="Calibri-Bold" w:hAnsi="Calibri-Bold"/>
          <w:b/>
          <w:bCs/>
          <w:color w:val="000000"/>
          <w:sz w:val="22"/>
        </w:rPr>
        <w:t>SHM</w:t>
      </w:r>
      <w:r>
        <w:rPr>
          <w:rFonts w:ascii="宋体" w:hAnsi="宋体"/>
          <w:color w:val="000000"/>
          <w:sz w:val="22"/>
        </w:rPr>
        <w:t>）分析</w:t>
      </w:r>
      <w:r>
        <w:rPr>
          <w:rFonts w:hint="eastAsia"/>
          <w:color w:val="000000"/>
          <w:sz w:val="22"/>
        </w:rPr>
        <w:br/>
      </w:r>
      <w:r>
        <w:rPr>
          <w:rFonts w:ascii="宋体" w:hAnsi="宋体"/>
          <w:color w:val="000000"/>
          <w:sz w:val="22"/>
        </w:rPr>
        <w:t>免疫球蛋白重链（</w:t>
      </w:r>
      <w:r>
        <w:rPr>
          <w:rFonts w:cs="Calibri"/>
          <w:color w:val="000000"/>
          <w:sz w:val="22"/>
        </w:rPr>
        <w:t>IGH</w:t>
      </w:r>
      <w:r>
        <w:rPr>
          <w:rFonts w:ascii="宋体" w:hAnsi="宋体"/>
          <w:color w:val="000000"/>
          <w:sz w:val="22"/>
        </w:rPr>
        <w:t>）基因体细胞突变程度是慢性淋巴细胞白血病（</w:t>
      </w:r>
      <w:r>
        <w:rPr>
          <w:rFonts w:cs="Calibri"/>
          <w:color w:val="000000"/>
          <w:sz w:val="22"/>
        </w:rPr>
        <w:t>CLL</w:t>
      </w:r>
      <w:r>
        <w:rPr>
          <w:rFonts w:ascii="宋体" w:hAnsi="宋体"/>
          <w:color w:val="000000"/>
          <w:sz w:val="22"/>
        </w:rPr>
        <w:t>）和小淋巴细胞淋巴瘤（</w:t>
      </w:r>
      <w:r>
        <w:rPr>
          <w:rFonts w:cs="Calibri"/>
          <w:color w:val="000000"/>
          <w:sz w:val="22"/>
        </w:rPr>
        <w:t>SLL</w:t>
      </w:r>
      <w:r>
        <w:rPr>
          <w:rFonts w:ascii="宋体" w:hAnsi="宋体"/>
          <w:color w:val="000000"/>
          <w:sz w:val="22"/>
        </w:rPr>
        <w:t xml:space="preserve">）患者治疗中最好的预后指标之一。对克隆 </w:t>
      </w:r>
      <w:r>
        <w:rPr>
          <w:rFonts w:cs="Calibri"/>
          <w:color w:val="000000"/>
          <w:sz w:val="22"/>
        </w:rPr>
        <w:t xml:space="preserve">PCR </w:t>
      </w:r>
      <w:r>
        <w:rPr>
          <w:rFonts w:ascii="宋体" w:hAnsi="宋体"/>
          <w:color w:val="000000"/>
          <w:sz w:val="22"/>
        </w:rPr>
        <w:t>产物进行鉴定、凝胶提取和测序。体细胞超突变（</w:t>
      </w:r>
      <w:r>
        <w:rPr>
          <w:rFonts w:cs="Calibri"/>
          <w:color w:val="000000"/>
          <w:sz w:val="22"/>
        </w:rPr>
        <w:t>SHM</w:t>
      </w:r>
      <w:r>
        <w:rPr>
          <w:rFonts w:ascii="宋体" w:hAnsi="宋体"/>
          <w:color w:val="000000"/>
          <w:sz w:val="22"/>
        </w:rPr>
        <w:t>）分析对整个可变区（</w:t>
      </w:r>
      <w:r>
        <w:rPr>
          <w:rFonts w:cs="Calibri"/>
          <w:color w:val="000000"/>
          <w:sz w:val="22"/>
        </w:rPr>
        <w:t>FR1-FR3</w:t>
      </w:r>
      <w:r>
        <w:rPr>
          <w:rFonts w:ascii="宋体" w:hAnsi="宋体"/>
          <w:color w:val="000000"/>
          <w:sz w:val="22"/>
        </w:rPr>
        <w:t>）或部分可变区（</w:t>
      </w:r>
      <w:r>
        <w:rPr>
          <w:rFonts w:cs="Calibri"/>
          <w:color w:val="000000"/>
          <w:sz w:val="22"/>
        </w:rPr>
        <w:t>CDR1-FR3</w:t>
      </w:r>
      <w:r>
        <w:rPr>
          <w:rFonts w:ascii="宋体" w:hAnsi="宋体"/>
          <w:color w:val="000000"/>
          <w:sz w:val="22"/>
        </w:rPr>
        <w:t xml:space="preserve">）进行测序以确定突变状态。通过比较患者样本 </w:t>
      </w:r>
      <w:r>
        <w:rPr>
          <w:rFonts w:cs="Calibri"/>
          <w:color w:val="000000"/>
          <w:sz w:val="22"/>
        </w:rPr>
        <w:t xml:space="preserve">IGH V </w:t>
      </w:r>
      <w:r>
        <w:rPr>
          <w:rFonts w:ascii="宋体" w:hAnsi="宋体"/>
          <w:color w:val="000000"/>
          <w:sz w:val="22"/>
        </w:rPr>
        <w:t xml:space="preserve">区序列和同源种系 </w:t>
      </w:r>
      <w:r>
        <w:rPr>
          <w:rFonts w:cs="Calibri"/>
          <w:color w:val="000000"/>
          <w:sz w:val="22"/>
        </w:rPr>
        <w:t xml:space="preserve">V </w:t>
      </w:r>
      <w:r>
        <w:rPr>
          <w:rFonts w:ascii="宋体" w:hAnsi="宋体"/>
          <w:color w:val="000000"/>
          <w:sz w:val="22"/>
        </w:rPr>
        <w:t xml:space="preserve">序列确定突变状态。序列与相应种系序列差异超过 </w:t>
      </w:r>
      <w:r>
        <w:rPr>
          <w:rFonts w:cs="Calibri"/>
          <w:color w:val="000000"/>
          <w:sz w:val="22"/>
        </w:rPr>
        <w:t>2%</w:t>
      </w:r>
      <w:r>
        <w:rPr>
          <w:rFonts w:ascii="宋体" w:hAnsi="宋体"/>
          <w:color w:val="000000"/>
          <w:sz w:val="22"/>
        </w:rPr>
        <w:t xml:space="preserve">认为高度突变，序列差异小于 </w:t>
      </w:r>
      <w:r>
        <w:rPr>
          <w:rFonts w:cs="Calibri"/>
          <w:color w:val="000000"/>
          <w:sz w:val="22"/>
        </w:rPr>
        <w:t>2%</w:t>
      </w:r>
      <w:r>
        <w:rPr>
          <w:rFonts w:ascii="宋体" w:hAnsi="宋体"/>
          <w:color w:val="000000"/>
          <w:sz w:val="22"/>
        </w:rPr>
        <w:t>认为未突变。</w:t>
      </w:r>
    </w:p>
    <w:p w:rsidR="00E2702B" w:rsidRDefault="00E2702B">
      <w:pPr>
        <w:pStyle w:val="a8"/>
        <w:numPr>
          <w:ilvl w:val="255"/>
          <w:numId w:val="0"/>
        </w:numPr>
        <w:spacing w:line="360" w:lineRule="auto"/>
        <w:ind w:left="630" w:rightChars="100" w:right="210"/>
      </w:pPr>
    </w:p>
    <w:p w:rsidR="00E2702B" w:rsidRDefault="00F25934">
      <w:pPr>
        <w:pStyle w:val="a6"/>
        <w:numPr>
          <w:ilvl w:val="255"/>
          <w:numId w:val="0"/>
        </w:numPr>
        <w:spacing w:before="0" w:beforeAutospacing="0" w:after="0" w:afterAutospacing="0" w:line="360" w:lineRule="auto"/>
        <w:ind w:left="630"/>
        <w:rPr>
          <w:rStyle w:val="fontstyle01"/>
          <w:rFonts w:cs="Times New Roman" w:hint="default"/>
          <w:kern w:val="2"/>
        </w:rPr>
      </w:pPr>
      <w:r>
        <w:rPr>
          <w:rStyle w:val="fontstyle01"/>
          <w:rFonts w:cs="Times New Roman" w:hint="default"/>
          <w:kern w:val="2"/>
        </w:rPr>
        <w:t>2.2凝胶提取试剂盒</w:t>
      </w:r>
    </w:p>
    <w:p w:rsidR="00E2702B" w:rsidRDefault="00F25934">
      <w:pPr>
        <w:pStyle w:val="a6"/>
        <w:numPr>
          <w:ilvl w:val="255"/>
          <w:numId w:val="0"/>
        </w:numPr>
        <w:spacing w:before="0" w:beforeAutospacing="0" w:after="0" w:afterAutospacing="0" w:line="360" w:lineRule="auto"/>
        <w:ind w:left="630"/>
        <w:rPr>
          <w:rStyle w:val="fontstyle01"/>
          <w:rFonts w:cs="Times New Roman" w:hint="default"/>
          <w:kern w:val="2"/>
        </w:rPr>
      </w:pPr>
      <w:r>
        <w:rPr>
          <w:rStyle w:val="fontstyle01"/>
          <w:rFonts w:cs="Times New Roman" w:hint="default"/>
          <w:kern w:val="2"/>
        </w:rPr>
        <w:t xml:space="preserve">提供离心柱、缓冲液和收集管，用于从高达 400 mg 的凝胶切片中基于硅胶膜纯化 70 </w:t>
      </w:r>
      <w:proofErr w:type="spellStart"/>
      <w:r>
        <w:rPr>
          <w:rStyle w:val="fontstyle01"/>
          <w:rFonts w:cs="Times New Roman" w:hint="default"/>
          <w:kern w:val="2"/>
        </w:rPr>
        <w:t>bp</w:t>
      </w:r>
      <w:proofErr w:type="spellEnd"/>
      <w:r>
        <w:rPr>
          <w:rStyle w:val="fontstyle01"/>
          <w:rFonts w:cs="Times New Roman" w:hint="default"/>
          <w:kern w:val="2"/>
        </w:rPr>
        <w:t xml:space="preserve"> – 4 kb 的 DNA 片段。离心柱的设计允许以非常小的体积（低至 10 </w:t>
      </w:r>
      <w:proofErr w:type="spellStart"/>
      <w:r>
        <w:rPr>
          <w:rStyle w:val="fontstyle01"/>
          <w:rFonts w:cs="Times New Roman" w:hint="default"/>
          <w:kern w:val="2"/>
        </w:rPr>
        <w:t>μl</w:t>
      </w:r>
      <w:proofErr w:type="spellEnd"/>
      <w:r>
        <w:rPr>
          <w:rStyle w:val="fontstyle01"/>
          <w:rFonts w:cs="Times New Roman" w:hint="default"/>
          <w:kern w:val="2"/>
        </w:rPr>
        <w:t xml:space="preserve">）进行洗脱，从而提供高产量的高浓度 DNA。集成的 pH 指示剂可以轻松确定 DNA 与离心柱结合的最佳 pH。使用 </w:t>
      </w:r>
      <w:proofErr w:type="spellStart"/>
      <w:r>
        <w:rPr>
          <w:rStyle w:val="fontstyle01"/>
          <w:rFonts w:cs="Times New Roman" w:hint="default"/>
          <w:kern w:val="2"/>
        </w:rPr>
        <w:t>MinElute</w:t>
      </w:r>
      <w:proofErr w:type="spellEnd"/>
      <w:r>
        <w:rPr>
          <w:rStyle w:val="fontstyle01"/>
          <w:rFonts w:cs="Times New Roman" w:hint="default"/>
          <w:kern w:val="2"/>
        </w:rPr>
        <w:t xml:space="preserve"> 系统纯化的 DNA 片段可直接用于所有应用，包括测序、微阵列分析、连接和转化、限制性消化、标记、显微注射、PCR 和体外转录。</w:t>
      </w:r>
    </w:p>
    <w:p w:rsidR="00E2702B" w:rsidRDefault="00E2702B">
      <w:pPr>
        <w:pStyle w:val="a6"/>
        <w:numPr>
          <w:ilvl w:val="255"/>
          <w:numId w:val="0"/>
        </w:numPr>
        <w:spacing w:before="0" w:beforeAutospacing="0" w:after="0" w:afterAutospacing="0" w:line="360" w:lineRule="auto"/>
        <w:ind w:left="630"/>
        <w:rPr>
          <w:rStyle w:val="fontstyle01"/>
          <w:rFonts w:cs="Times New Roman" w:hint="default"/>
          <w:kern w:val="2"/>
        </w:rPr>
      </w:pPr>
    </w:p>
    <w:p w:rsidR="00E2702B" w:rsidRDefault="00F25934">
      <w:pPr>
        <w:pStyle w:val="a6"/>
        <w:numPr>
          <w:ilvl w:val="255"/>
          <w:numId w:val="0"/>
        </w:numPr>
        <w:spacing w:before="0" w:beforeAutospacing="0" w:after="0" w:afterAutospacing="0" w:line="360" w:lineRule="auto"/>
        <w:ind w:left="630"/>
        <w:rPr>
          <w:b/>
          <w:bCs/>
        </w:rPr>
      </w:pPr>
      <w:r>
        <w:rPr>
          <w:rStyle w:val="fontstyle01"/>
          <w:rFonts w:cs="Times New Roman" w:hint="default"/>
          <w:kern w:val="2"/>
        </w:rPr>
        <w:t>2.3</w:t>
      </w:r>
      <w:r>
        <w:rPr>
          <w:b/>
          <w:bCs/>
        </w:rPr>
        <w:t>高分辨率琼脂</w:t>
      </w:r>
      <w:r>
        <w:rPr>
          <w:rFonts w:hint="eastAsia"/>
          <w:b/>
          <w:bCs/>
        </w:rPr>
        <w:t>糖</w:t>
      </w:r>
    </w:p>
    <w:p w:rsidR="00E2702B" w:rsidRDefault="00F25934">
      <w:pPr>
        <w:pStyle w:val="a6"/>
        <w:numPr>
          <w:ilvl w:val="255"/>
          <w:numId w:val="0"/>
        </w:numPr>
        <w:spacing w:before="0" w:beforeAutospacing="0" w:after="0" w:afterAutospacing="0" w:line="360" w:lineRule="auto"/>
        <w:ind w:left="630"/>
      </w:pPr>
      <w:r>
        <w:rPr>
          <w:rFonts w:ascii="Tahoma" w:hAnsi="Tahoma" w:cs="Tahoma" w:hint="eastAsia"/>
          <w:color w:val="2F2F2F"/>
          <w:sz w:val="21"/>
          <w:szCs w:val="21"/>
          <w:shd w:val="clear" w:color="auto" w:fill="FFFFFF"/>
        </w:rPr>
        <w:t>是</w:t>
      </w:r>
      <w:r>
        <w:rPr>
          <w:rFonts w:ascii="Tahoma" w:eastAsia="Tahoma" w:hAnsi="Tahoma" w:cs="Tahoma"/>
          <w:color w:val="2F2F2F"/>
          <w:sz w:val="21"/>
          <w:szCs w:val="21"/>
          <w:shd w:val="clear" w:color="auto" w:fill="FFFFFF"/>
        </w:rPr>
        <w:t>一种中熔点琼脂糖，提供两倍于最好的筛过琼脂糖产品的分辨能力</w:t>
      </w:r>
      <w:r>
        <w:rPr>
          <w:rFonts w:ascii="Tahoma" w:hAnsi="Tahoma" w:cs="Tahoma" w:hint="eastAsia"/>
          <w:color w:val="2F2F2F"/>
          <w:sz w:val="21"/>
          <w:szCs w:val="21"/>
          <w:shd w:val="clear" w:color="auto" w:fill="FFFFFF"/>
        </w:rPr>
        <w:t>，此</w:t>
      </w:r>
      <w:r>
        <w:rPr>
          <w:rStyle w:val="fontstyle01"/>
          <w:rFonts w:cs="Times New Roman" w:hint="default"/>
          <w:kern w:val="2"/>
        </w:rPr>
        <w:t>琼脂糖可用于水平凝胶电泳分辨20bp-800bp的DNA </w:t>
      </w:r>
      <w:proofErr w:type="spellStart"/>
      <w:r>
        <w:rPr>
          <w:rStyle w:val="fontstyle01"/>
          <w:rFonts w:cs="Times New Roman" w:hint="default"/>
          <w:kern w:val="2"/>
        </w:rPr>
        <w:t>fragment,PCR</w:t>
      </w:r>
      <w:proofErr w:type="spellEnd"/>
      <w:r>
        <w:rPr>
          <w:rStyle w:val="fontstyle01"/>
          <w:rFonts w:cs="Times New Roman" w:hint="default"/>
          <w:kern w:val="2"/>
        </w:rPr>
        <w:t>和RT-PCR产物，分辨能力约为DNA fragment大小的2%。此琼脂糖凝胶（2%-4%）与聚丙烯酰胺凝胶（4%-8%）的分辨率接近。这些凝胶适于分辨</w:t>
      </w:r>
      <w:proofErr w:type="spellStart"/>
      <w:r>
        <w:rPr>
          <w:rStyle w:val="fontstyle01"/>
          <w:rFonts w:cs="Times New Roman" w:hint="default"/>
          <w:kern w:val="2"/>
        </w:rPr>
        <w:t>AMPFLPs,STRs</w:t>
      </w:r>
      <w:proofErr w:type="spellEnd"/>
      <w:r>
        <w:rPr>
          <w:rStyle w:val="fontstyle01"/>
          <w:rFonts w:cs="Times New Roman" w:hint="default"/>
          <w:kern w:val="2"/>
        </w:rPr>
        <w:t>,三核苷酸和四核苷酸</w:t>
      </w:r>
      <w:r>
        <w:rPr>
          <w:rStyle w:val="fontstyle01"/>
          <w:rFonts w:cs="Times New Roman" w:hint="default"/>
          <w:kern w:val="2"/>
        </w:rPr>
        <w:lastRenderedPageBreak/>
        <w:t>重复序列。</w:t>
      </w:r>
      <w:r>
        <w:rPr>
          <w:rStyle w:val="fontstyle01"/>
          <w:rFonts w:cs="Times New Roman" w:hint="default"/>
          <w:kern w:val="2"/>
        </w:rPr>
        <w:br/>
      </w:r>
    </w:p>
    <w:p w:rsidR="00E2702B" w:rsidRDefault="00F25934">
      <w:pPr>
        <w:pStyle w:val="a8"/>
        <w:numPr>
          <w:ilvl w:val="0"/>
          <w:numId w:val="3"/>
        </w:numPr>
        <w:spacing w:line="360" w:lineRule="auto"/>
        <w:ind w:firstLineChars="0"/>
        <w:rPr>
          <w:b/>
        </w:rPr>
      </w:pPr>
      <w:r>
        <w:rPr>
          <w:rFonts w:hint="eastAsia"/>
          <w:b/>
        </w:rPr>
        <w:t>交付期限：</w:t>
      </w:r>
    </w:p>
    <w:p w:rsidR="00E2702B" w:rsidRDefault="00F25934">
      <w:pPr>
        <w:pStyle w:val="a8"/>
        <w:spacing w:line="360" w:lineRule="auto"/>
        <w:ind w:left="567" w:firstLineChars="67" w:firstLine="141"/>
      </w:pPr>
      <w:r>
        <w:rPr>
          <w:rFonts w:hint="eastAsia"/>
        </w:rPr>
        <w:t>签订</w:t>
      </w:r>
      <w:proofErr w:type="gramStart"/>
      <w:r>
        <w:rPr>
          <w:rFonts w:hint="eastAsia"/>
        </w:rPr>
        <w:t>完合同</w:t>
      </w:r>
      <w:proofErr w:type="gramEnd"/>
      <w:r>
        <w:rPr>
          <w:rFonts w:hint="eastAsia"/>
        </w:rPr>
        <w:t>后</w:t>
      </w:r>
      <w:r>
        <w:rPr>
          <w:rFonts w:hint="eastAsia"/>
        </w:rPr>
        <w:t>2</w:t>
      </w:r>
      <w:r>
        <w:rPr>
          <w:rFonts w:hint="eastAsia"/>
        </w:rPr>
        <w:t>周内完成供货。</w:t>
      </w:r>
    </w:p>
    <w:p w:rsidR="00E2702B" w:rsidRDefault="00F25934">
      <w:pPr>
        <w:pStyle w:val="a8"/>
        <w:numPr>
          <w:ilvl w:val="0"/>
          <w:numId w:val="3"/>
        </w:numPr>
        <w:spacing w:line="360" w:lineRule="auto"/>
        <w:ind w:firstLineChars="0"/>
        <w:rPr>
          <w:b/>
        </w:rPr>
      </w:pPr>
      <w:r>
        <w:rPr>
          <w:rFonts w:hint="eastAsia"/>
          <w:b/>
        </w:rPr>
        <w:t>交付形式：</w:t>
      </w:r>
    </w:p>
    <w:p w:rsidR="00E2702B" w:rsidRDefault="00F25934">
      <w:pPr>
        <w:ind w:firstLineChars="300" w:firstLine="630"/>
      </w:pPr>
      <w:r>
        <w:rPr>
          <w:rFonts w:hint="eastAsia"/>
        </w:rPr>
        <w:t>货物送货上门</w:t>
      </w:r>
    </w:p>
    <w:sectPr w:rsidR="00E27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72" w:rsidRDefault="00DB6472"/>
  </w:endnote>
  <w:endnote w:type="continuationSeparator" w:id="0">
    <w:p w:rsidR="00DB6472" w:rsidRDefault="00DB6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roman"/>
    <w:pitch w:val="default"/>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72" w:rsidRDefault="00DB6472"/>
  </w:footnote>
  <w:footnote w:type="continuationSeparator" w:id="0">
    <w:p w:rsidR="00DB6472" w:rsidRDefault="00DB64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B63"/>
    <w:multiLevelType w:val="multilevel"/>
    <w:tmpl w:val="17FF3B6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0D4ECF"/>
    <w:multiLevelType w:val="singleLevel"/>
    <w:tmpl w:val="5A0D4ECF"/>
    <w:lvl w:ilvl="0">
      <w:start w:val="2"/>
      <w:numFmt w:val="decimal"/>
      <w:suff w:val="space"/>
      <w:lvlText w:val="%1."/>
      <w:lvlJc w:val="left"/>
    </w:lvl>
  </w:abstractNum>
  <w:abstractNum w:abstractNumId="2">
    <w:nsid w:val="61624230"/>
    <w:multiLevelType w:val="multilevel"/>
    <w:tmpl w:val="61624230"/>
    <w:lvl w:ilvl="0">
      <w:start w:val="1"/>
      <w:numFmt w:val="decimal"/>
      <w:lvlText w:val="%1）"/>
      <w:lvlJc w:val="left"/>
      <w:pPr>
        <w:ind w:left="990" w:hanging="360"/>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64FD0E49"/>
    <w:multiLevelType w:val="multilevel"/>
    <w:tmpl w:val="64FD0E4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ca-m">
    <w15:presenceInfo w15:providerId="None" w15:userId="shc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N2ZlODk3YWZjZDAyOGJhMTMwMmRlMzk2Njc2ZTcifQ=="/>
  </w:docVars>
  <w:rsids>
    <w:rsidRoot w:val="00EF33BD"/>
    <w:rsid w:val="00053D50"/>
    <w:rsid w:val="00065046"/>
    <w:rsid w:val="000C243E"/>
    <w:rsid w:val="000C3EB8"/>
    <w:rsid w:val="000E56DF"/>
    <w:rsid w:val="000E7F59"/>
    <w:rsid w:val="00150B4A"/>
    <w:rsid w:val="001E2568"/>
    <w:rsid w:val="002048AE"/>
    <w:rsid w:val="00210F7E"/>
    <w:rsid w:val="00280069"/>
    <w:rsid w:val="0030384B"/>
    <w:rsid w:val="00305012"/>
    <w:rsid w:val="003A282A"/>
    <w:rsid w:val="00416A3F"/>
    <w:rsid w:val="00456D7C"/>
    <w:rsid w:val="00472496"/>
    <w:rsid w:val="004925EF"/>
    <w:rsid w:val="0049700F"/>
    <w:rsid w:val="004A431A"/>
    <w:rsid w:val="004D138B"/>
    <w:rsid w:val="00510381"/>
    <w:rsid w:val="00524729"/>
    <w:rsid w:val="006331A5"/>
    <w:rsid w:val="006756B5"/>
    <w:rsid w:val="00702E89"/>
    <w:rsid w:val="00706D28"/>
    <w:rsid w:val="00757FC9"/>
    <w:rsid w:val="00775597"/>
    <w:rsid w:val="007F6BE6"/>
    <w:rsid w:val="008061C9"/>
    <w:rsid w:val="00825A9C"/>
    <w:rsid w:val="008309D6"/>
    <w:rsid w:val="00841693"/>
    <w:rsid w:val="00852A90"/>
    <w:rsid w:val="00864D45"/>
    <w:rsid w:val="0089138E"/>
    <w:rsid w:val="0097300D"/>
    <w:rsid w:val="00985F8E"/>
    <w:rsid w:val="009F4847"/>
    <w:rsid w:val="00A41A3F"/>
    <w:rsid w:val="00A657BA"/>
    <w:rsid w:val="00A81108"/>
    <w:rsid w:val="00A82FB1"/>
    <w:rsid w:val="00AD0D8B"/>
    <w:rsid w:val="00B05482"/>
    <w:rsid w:val="00B278A3"/>
    <w:rsid w:val="00B429D9"/>
    <w:rsid w:val="00B9634B"/>
    <w:rsid w:val="00BA1E1D"/>
    <w:rsid w:val="00BB2592"/>
    <w:rsid w:val="00C314D5"/>
    <w:rsid w:val="00C5528D"/>
    <w:rsid w:val="00C67987"/>
    <w:rsid w:val="00C756F3"/>
    <w:rsid w:val="00C8236E"/>
    <w:rsid w:val="00CC5D0D"/>
    <w:rsid w:val="00CC5ECB"/>
    <w:rsid w:val="00CD3288"/>
    <w:rsid w:val="00CD5131"/>
    <w:rsid w:val="00CE334D"/>
    <w:rsid w:val="00CE4745"/>
    <w:rsid w:val="00D1196A"/>
    <w:rsid w:val="00D32C1E"/>
    <w:rsid w:val="00D3577E"/>
    <w:rsid w:val="00D435FC"/>
    <w:rsid w:val="00D5380B"/>
    <w:rsid w:val="00D9659A"/>
    <w:rsid w:val="00D97553"/>
    <w:rsid w:val="00DB6472"/>
    <w:rsid w:val="00DF3185"/>
    <w:rsid w:val="00E01960"/>
    <w:rsid w:val="00E2702B"/>
    <w:rsid w:val="00E40880"/>
    <w:rsid w:val="00E75F7F"/>
    <w:rsid w:val="00EB2DA0"/>
    <w:rsid w:val="00EC52C2"/>
    <w:rsid w:val="00ED0DEC"/>
    <w:rsid w:val="00EF33BD"/>
    <w:rsid w:val="00F16358"/>
    <w:rsid w:val="00F25934"/>
    <w:rsid w:val="00F60150"/>
    <w:rsid w:val="00F63BAE"/>
    <w:rsid w:val="00F77FBB"/>
    <w:rsid w:val="00FA226F"/>
    <w:rsid w:val="00FB1F8F"/>
    <w:rsid w:val="00FC2914"/>
    <w:rsid w:val="00FE7B47"/>
    <w:rsid w:val="01064C9A"/>
    <w:rsid w:val="026C6E5D"/>
    <w:rsid w:val="046441B2"/>
    <w:rsid w:val="05B11678"/>
    <w:rsid w:val="05D47115"/>
    <w:rsid w:val="062E4A77"/>
    <w:rsid w:val="06304C93"/>
    <w:rsid w:val="066E30C6"/>
    <w:rsid w:val="06BA630B"/>
    <w:rsid w:val="08A41020"/>
    <w:rsid w:val="09442803"/>
    <w:rsid w:val="0A9B6453"/>
    <w:rsid w:val="0EE91E83"/>
    <w:rsid w:val="0F4C0664"/>
    <w:rsid w:val="0F5A68DD"/>
    <w:rsid w:val="0FBF7C10"/>
    <w:rsid w:val="10341704"/>
    <w:rsid w:val="105477D0"/>
    <w:rsid w:val="10BF2E32"/>
    <w:rsid w:val="12502219"/>
    <w:rsid w:val="13C83333"/>
    <w:rsid w:val="155774B3"/>
    <w:rsid w:val="15A73349"/>
    <w:rsid w:val="17012110"/>
    <w:rsid w:val="1C626DD1"/>
    <w:rsid w:val="1D5C1A72"/>
    <w:rsid w:val="1FA509AD"/>
    <w:rsid w:val="22CF2CE6"/>
    <w:rsid w:val="25185509"/>
    <w:rsid w:val="28B430AA"/>
    <w:rsid w:val="29890093"/>
    <w:rsid w:val="2A21651D"/>
    <w:rsid w:val="2AD05673"/>
    <w:rsid w:val="2C950AFD"/>
    <w:rsid w:val="2E26427C"/>
    <w:rsid w:val="2FB408FE"/>
    <w:rsid w:val="2FC260AC"/>
    <w:rsid w:val="2FE937C7"/>
    <w:rsid w:val="314A1AEE"/>
    <w:rsid w:val="34CC52D7"/>
    <w:rsid w:val="35055943"/>
    <w:rsid w:val="35BC17F0"/>
    <w:rsid w:val="364A1877"/>
    <w:rsid w:val="36661511"/>
    <w:rsid w:val="38C033A5"/>
    <w:rsid w:val="393A4330"/>
    <w:rsid w:val="3A6D4E67"/>
    <w:rsid w:val="3C752D82"/>
    <w:rsid w:val="3D670293"/>
    <w:rsid w:val="3FB05F21"/>
    <w:rsid w:val="3FF37BBC"/>
    <w:rsid w:val="42AB0C22"/>
    <w:rsid w:val="4698770F"/>
    <w:rsid w:val="485853A8"/>
    <w:rsid w:val="4901159C"/>
    <w:rsid w:val="49DE18DD"/>
    <w:rsid w:val="4A5751EC"/>
    <w:rsid w:val="4B7E5126"/>
    <w:rsid w:val="4BA95F1B"/>
    <w:rsid w:val="4C2C4B82"/>
    <w:rsid w:val="4D341814"/>
    <w:rsid w:val="51DC2BA6"/>
    <w:rsid w:val="524939F1"/>
    <w:rsid w:val="52CF44B9"/>
    <w:rsid w:val="52DE294E"/>
    <w:rsid w:val="56743017"/>
    <w:rsid w:val="57DD4F82"/>
    <w:rsid w:val="5847689F"/>
    <w:rsid w:val="58C3110C"/>
    <w:rsid w:val="59101387"/>
    <w:rsid w:val="5A0203D8"/>
    <w:rsid w:val="5A8B64F0"/>
    <w:rsid w:val="5AEA623E"/>
    <w:rsid w:val="5BFF72D5"/>
    <w:rsid w:val="5E4A0E97"/>
    <w:rsid w:val="5EA031AD"/>
    <w:rsid w:val="60BD3BA3"/>
    <w:rsid w:val="65530F79"/>
    <w:rsid w:val="662B5A52"/>
    <w:rsid w:val="66552ACF"/>
    <w:rsid w:val="691B1DAE"/>
    <w:rsid w:val="694C0422"/>
    <w:rsid w:val="6B0845B4"/>
    <w:rsid w:val="6B9D7FCE"/>
    <w:rsid w:val="6C2C42D2"/>
    <w:rsid w:val="6F35349E"/>
    <w:rsid w:val="709541F4"/>
    <w:rsid w:val="741154EE"/>
    <w:rsid w:val="75AD0232"/>
    <w:rsid w:val="75AF1ADD"/>
    <w:rsid w:val="770A3894"/>
    <w:rsid w:val="78F61EF0"/>
    <w:rsid w:val="7A831561"/>
    <w:rsid w:val="7DAE2D99"/>
    <w:rsid w:val="7E77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customStyle="1" w:styleId="1">
    <w:name w:val="修订1"/>
    <w:hidden/>
    <w:uiPriority w:val="99"/>
    <w:semiHidden/>
    <w:rPr>
      <w:rFonts w:ascii="Calibri" w:hAnsi="Calibri"/>
      <w:kern w:val="2"/>
      <w:sz w:val="21"/>
      <w:szCs w:val="22"/>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rPr>
      <w:rFonts w:ascii="Calibri" w:hAnsi="Calibri" w:cs="Calibri" w:hint="default"/>
      <w:color w:val="000000"/>
      <w:sz w:val="22"/>
      <w:szCs w:val="22"/>
    </w:rPr>
  </w:style>
  <w:style w:type="character" w:customStyle="1" w:styleId="fontstyle11">
    <w:name w:val="fontstyle11"/>
    <w:basedOn w:val="a0"/>
    <w:rPr>
      <w:rFonts w:ascii="Calibri-Bold" w:hAnsi="Calibri-Bold" w:hint="default"/>
      <w:b/>
      <w:bCs/>
      <w:color w:val="000000"/>
      <w:sz w:val="22"/>
      <w:szCs w:val="22"/>
    </w:rPr>
  </w:style>
  <w:style w:type="character" w:customStyle="1" w:styleId="fontstyle31">
    <w:name w:val="fontstyle31"/>
    <w:basedOn w:val="a0"/>
    <w:rPr>
      <w:rFonts w:ascii="Calibri" w:hAnsi="Calibri" w:cs="Calibri"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customStyle="1" w:styleId="1">
    <w:name w:val="修订1"/>
    <w:hidden/>
    <w:uiPriority w:val="99"/>
    <w:semiHidden/>
    <w:rPr>
      <w:rFonts w:ascii="Calibri" w:hAnsi="Calibri"/>
      <w:kern w:val="2"/>
      <w:sz w:val="21"/>
      <w:szCs w:val="22"/>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rPr>
      <w:rFonts w:ascii="Calibri" w:hAnsi="Calibri" w:cs="Calibri" w:hint="default"/>
      <w:color w:val="000000"/>
      <w:sz w:val="22"/>
      <w:szCs w:val="22"/>
    </w:rPr>
  </w:style>
  <w:style w:type="character" w:customStyle="1" w:styleId="fontstyle11">
    <w:name w:val="fontstyle11"/>
    <w:basedOn w:val="a0"/>
    <w:rPr>
      <w:rFonts w:ascii="Calibri-Bold" w:hAnsi="Calibri-Bold" w:hint="default"/>
      <w:b/>
      <w:bCs/>
      <w:color w:val="000000"/>
      <w:sz w:val="22"/>
      <w:szCs w:val="22"/>
    </w:rPr>
  </w:style>
  <w:style w:type="character" w:customStyle="1" w:styleId="fontstyle31">
    <w:name w:val="fontstyle31"/>
    <w:basedOn w:val="a0"/>
    <w:rPr>
      <w:rFonts w:ascii="Calibri" w:hAnsi="Calibri" w:cs="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1350</Characters>
  <Application>Microsoft Office Word</Application>
  <DocSecurity>0</DocSecurity>
  <Lines>11</Lines>
  <Paragraphs>3</Paragraphs>
  <ScaleCrop>false</ScaleCrop>
  <Company>Hewlett-Packard Company</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卢建龙</cp:lastModifiedBy>
  <cp:revision>3</cp:revision>
  <dcterms:created xsi:type="dcterms:W3CDTF">2023-09-11T04:30:00Z</dcterms:created>
  <dcterms:modified xsi:type="dcterms:W3CDTF">2023-09-11T05:34:00Z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C5FD376BE7504E948C47C173091A928D_12</vt:lpwstr>
  </property>
</Properties>
</file>