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jc w:val="left"/>
        <w:rPr>
          <w:rFonts w:ascii="宋体" w:hAnsi="宋体" w:eastAsia="宋体" w:cs="宋体"/>
          <w:b/>
          <w:bCs/>
          <w:kern w:val="0"/>
          <w:sz w:val="48"/>
          <w:szCs w:val="48"/>
        </w:rPr>
      </w:pPr>
      <w:bookmarkStart w:id="34" w:name="_GoBack"/>
      <w:bookmarkEnd w:id="34"/>
    </w:p>
    <w:p>
      <w:pPr>
        <w:spacing w:before="50" w:after="50"/>
        <w:jc w:val="left"/>
        <w:rPr>
          <w:rFonts w:ascii="宋体" w:hAnsi="宋体" w:eastAsia="宋体" w:cs="宋体"/>
          <w:b/>
          <w:bCs/>
          <w:kern w:val="0"/>
          <w:sz w:val="48"/>
          <w:szCs w:val="48"/>
        </w:rPr>
      </w:pPr>
    </w:p>
    <w:p>
      <w:pPr>
        <w:spacing w:before="50" w:after="50"/>
        <w:jc w:val="left"/>
        <w:rPr>
          <w:rFonts w:ascii="宋体" w:hAnsi="宋体" w:eastAsia="宋体" w:cs="宋体"/>
          <w:b/>
          <w:bCs/>
          <w:kern w:val="0"/>
          <w:sz w:val="48"/>
          <w:szCs w:val="48"/>
        </w:rPr>
      </w:pP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pPr>
        <w:spacing w:line="360" w:lineRule="auto"/>
        <w:jc w:val="center"/>
        <w:rPr>
          <w:rFonts w:cs="宋体" w:asciiTheme="minorEastAsia" w:hAnsiTheme="minorEastAsia"/>
          <w:b/>
          <w:bCs/>
          <w:kern w:val="0"/>
          <w:sz w:val="32"/>
          <w:szCs w:val="32"/>
        </w:rPr>
      </w:pP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DSA</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备案编号：CGXM-2023-350201-01314[2023]01041</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项目编号：[350201]GWTZ[GK]2023034</w:t>
      </w:r>
    </w:p>
    <w:p>
      <w:pPr>
        <w:spacing w:line="360" w:lineRule="auto"/>
        <w:jc w:val="center"/>
        <w:rPr>
          <w:rFonts w:cs="宋体" w:asciiTheme="minorEastAsia" w:hAnsiTheme="minorEastAsia"/>
          <w:b/>
          <w:bCs/>
          <w:kern w:val="0"/>
          <w:sz w:val="32"/>
          <w:szCs w:val="32"/>
        </w:rPr>
      </w:pPr>
    </w:p>
    <w:p>
      <w:pPr>
        <w:spacing w:line="360" w:lineRule="auto"/>
        <w:jc w:val="center"/>
        <w:rPr>
          <w:rFonts w:cs="宋体" w:asciiTheme="minorEastAsia" w:hAnsiTheme="minorEastAsia"/>
          <w:b/>
          <w:bCs/>
          <w:kern w:val="0"/>
          <w:sz w:val="32"/>
          <w:szCs w:val="32"/>
        </w:rPr>
      </w:pP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rPr>
        <w:t>复旦大学附属肿瘤医院厦门医院</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w:t>
      </w:r>
      <w:r>
        <w:rPr>
          <w:rFonts w:hint="eastAsia" w:cs="宋体" w:asciiTheme="minorEastAsia" w:hAnsiTheme="minorEastAsia"/>
          <w:b/>
          <w:bCs/>
          <w:kern w:val="0"/>
          <w:sz w:val="32"/>
          <w:szCs w:val="32"/>
        </w:rPr>
        <w:t>厦门市公物投资管理有限公司</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3</w:t>
      </w:r>
      <w:r>
        <w:rPr>
          <w:rFonts w:cs="宋体" w:asciiTheme="minorEastAsia" w:hAnsiTheme="minorEastAsia"/>
          <w:b/>
          <w:bCs/>
          <w:kern w:val="0"/>
          <w:sz w:val="32"/>
          <w:szCs w:val="32"/>
        </w:rPr>
        <w:t>年</w:t>
      </w:r>
      <w:r>
        <w:rPr>
          <w:rFonts w:hint="eastAsia" w:cs="宋体" w:asciiTheme="minorEastAsia" w:hAnsiTheme="minorEastAsia"/>
          <w:b/>
          <w:bCs/>
          <w:kern w:val="0"/>
          <w:sz w:val="32"/>
          <w:szCs w:val="32"/>
        </w:rPr>
        <w:t>11</w:t>
      </w:r>
      <w:r>
        <w:rPr>
          <w:rFonts w:cs="宋体" w:asciiTheme="minorEastAsia" w:hAnsiTheme="minorEastAsia"/>
          <w:b/>
          <w:bCs/>
          <w:kern w:val="0"/>
          <w:sz w:val="32"/>
          <w:szCs w:val="32"/>
        </w:rPr>
        <w:t>月</w:t>
      </w:r>
    </w:p>
    <w:p>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pPr>
            <w:pStyle w:val="48"/>
            <w:widowControl w:val="0"/>
            <w:spacing w:before="156" w:beforeLines="50" w:after="156"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pPr>
            <w:pStyle w:val="14"/>
            <w:tabs>
              <w:tab w:val="right" w:leader="dot" w:pos="9060"/>
            </w:tabs>
            <w:spacing w:line="360" w:lineRule="auto"/>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"_Toc139103779" </w:instrText>
          </w:r>
          <w:r>
            <w:fldChar w:fldCharType="separate"/>
          </w:r>
          <w:r>
            <w:rPr>
              <w:rStyle w:val="22"/>
              <w:rFonts w:hint="eastAsia" w:cs="Times New Roman" w:asciiTheme="minorEastAsia" w:hAnsiTheme="minorEastAsia"/>
              <w:color w:val="auto"/>
              <w:kern w:val="0"/>
              <w:sz w:val="24"/>
              <w:szCs w:val="24"/>
            </w:rPr>
            <w:t>第一章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_Toc139103779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"_Toc139103780" </w:instrText>
          </w:r>
          <w:r>
            <w:fldChar w:fldCharType="separate"/>
          </w:r>
          <w:r>
            <w:rPr>
              <w:rStyle w:val="22"/>
              <w:rFonts w:hint="eastAsia" w:cs="Times New Roman" w:asciiTheme="minorEastAsia" w:hAnsiTheme="minorEastAsia"/>
              <w:color w:val="auto"/>
              <w:kern w:val="0"/>
              <w:sz w:val="24"/>
              <w:szCs w:val="24"/>
            </w:rPr>
            <w:t>第二章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_Toc139103780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"_Toc139103781" </w:instrText>
          </w:r>
          <w:r>
            <w:fldChar w:fldCharType="separate"/>
          </w:r>
          <w:r>
            <w:rPr>
              <w:rStyle w:val="22"/>
              <w:rFonts w:hint="eastAsia" w:cs="Times New Roman" w:asciiTheme="minorEastAsia" w:hAnsiTheme="minorEastAsia"/>
              <w:color w:val="auto"/>
              <w:kern w:val="0"/>
              <w:sz w:val="24"/>
              <w:szCs w:val="24"/>
            </w:rPr>
            <w:t>一、投标人须知前附表</w:t>
          </w:r>
          <w:r>
            <w:rPr>
              <w:rStyle w:val="22"/>
              <w:rFonts w:cs="Times New Roman" w:asciiTheme="minorEastAsia" w:hAnsiTheme="minorEastAsia"/>
              <w:color w:val="auto"/>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_Toc139103781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"_Toc139103782" </w:instrText>
          </w:r>
          <w:r>
            <w:fldChar w:fldCharType="separate"/>
          </w:r>
          <w:r>
            <w:rPr>
              <w:rStyle w:val="22"/>
              <w:rFonts w:hint="eastAsia" w:cs="Times New Roman" w:asciiTheme="minorEastAsia" w:hAnsiTheme="minorEastAsia"/>
              <w:color w:val="auto"/>
              <w:kern w:val="0"/>
              <w:sz w:val="24"/>
              <w:szCs w:val="24"/>
            </w:rPr>
            <w:t>二、投标人须知前附表</w:t>
          </w:r>
          <w:r>
            <w:rPr>
              <w:rStyle w:val="22"/>
              <w:rFonts w:cs="Times New Roman" w:asciiTheme="minorEastAsia" w:hAnsiTheme="minorEastAsia"/>
              <w:color w:val="auto"/>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_Toc139103782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"_Toc139103783" </w:instrText>
          </w:r>
          <w:r>
            <w:fldChar w:fldCharType="separate"/>
          </w:r>
          <w:r>
            <w:rPr>
              <w:rStyle w:val="22"/>
              <w:rFonts w:hint="eastAsia" w:cs="Times New Roman" w:asciiTheme="minorEastAsia" w:hAnsiTheme="minorEastAsia"/>
              <w:color w:val="auto"/>
              <w:kern w:val="0"/>
              <w:sz w:val="24"/>
              <w:szCs w:val="24"/>
            </w:rPr>
            <w:t>第三章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_Toc139103783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"_Toc139103784" </w:instrText>
          </w:r>
          <w:r>
            <w:fldChar w:fldCharType="separate"/>
          </w:r>
          <w:r>
            <w:rPr>
              <w:rStyle w:val="22"/>
              <w:rFonts w:hint="eastAsia" w:cs="Times New Roman" w:asciiTheme="minorEastAsia" w:hAnsiTheme="minorEastAsia"/>
              <w:color w:val="auto"/>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_Toc139103784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"_Toc139103785" </w:instrText>
          </w:r>
          <w:r>
            <w:fldChar w:fldCharType="separate"/>
          </w:r>
          <w:r>
            <w:rPr>
              <w:rStyle w:val="22"/>
              <w:rFonts w:hint="eastAsia" w:cs="Times New Roman" w:asciiTheme="minorEastAsia" w:hAnsiTheme="minorEastAsia"/>
              <w:color w:val="auto"/>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_Toc139103785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"_Toc139103786" </w:instrText>
          </w:r>
          <w:r>
            <w:fldChar w:fldCharType="separate"/>
          </w:r>
          <w:r>
            <w:rPr>
              <w:rStyle w:val="22"/>
              <w:rFonts w:hint="eastAsia" w:cs="Times New Roman" w:asciiTheme="minorEastAsia" w:hAnsiTheme="minorEastAsia"/>
              <w:color w:val="auto"/>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_Toc139103786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"_Toc139103787" </w:instrText>
          </w:r>
          <w:r>
            <w:fldChar w:fldCharType="separate"/>
          </w:r>
          <w:r>
            <w:rPr>
              <w:rStyle w:val="22"/>
              <w:rFonts w:hint="eastAsia" w:cs="Times New Roman" w:asciiTheme="minorEastAsia" w:hAnsiTheme="minorEastAsia"/>
              <w:color w:val="auto"/>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_Toc139103787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"_Toc139103788" </w:instrText>
          </w:r>
          <w:r>
            <w:fldChar w:fldCharType="separate"/>
          </w:r>
          <w:r>
            <w:rPr>
              <w:rStyle w:val="22"/>
              <w:rFonts w:hint="eastAsia" w:cs="Times New Roman" w:asciiTheme="minorEastAsia" w:hAnsiTheme="minorEastAsia"/>
              <w:color w:val="auto"/>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_Toc139103788 \h </w:instrText>
          </w:r>
          <w:r>
            <w:rPr>
              <w:rFonts w:asciiTheme="minorEastAsia" w:hAnsiTheme="minorEastAsia"/>
              <w:sz w:val="24"/>
              <w:szCs w:val="24"/>
            </w:rPr>
            <w:fldChar w:fldCharType="separate"/>
          </w:r>
          <w:r>
            <w:rPr>
              <w:rFonts w:asciiTheme="minorEastAsia" w:hAnsiTheme="minorEastAsia"/>
              <w:sz w:val="24"/>
              <w:szCs w:val="24"/>
            </w:rPr>
            <w:t>19</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"_Toc139103789" </w:instrText>
          </w:r>
          <w:r>
            <w:fldChar w:fldCharType="separate"/>
          </w:r>
          <w:r>
            <w:rPr>
              <w:rStyle w:val="22"/>
              <w:rFonts w:hint="eastAsia" w:cs="Times New Roman" w:asciiTheme="minorEastAsia" w:hAnsiTheme="minorEastAsia"/>
              <w:color w:val="auto"/>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_Toc139103789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"_Toc139103790" </w:instrText>
          </w:r>
          <w:r>
            <w:fldChar w:fldCharType="separate"/>
          </w:r>
          <w:r>
            <w:rPr>
              <w:rStyle w:val="22"/>
              <w:rFonts w:hint="eastAsia" w:cs="Times New Roman" w:asciiTheme="minorEastAsia" w:hAnsiTheme="minorEastAsia"/>
              <w:color w:val="auto"/>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_Toc139103790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"_Toc139103791" </w:instrText>
          </w:r>
          <w:r>
            <w:fldChar w:fldCharType="separate"/>
          </w:r>
          <w:r>
            <w:rPr>
              <w:rStyle w:val="22"/>
              <w:rFonts w:hint="eastAsia" w:cs="Times New Roman" w:asciiTheme="minorEastAsia" w:hAnsiTheme="minorEastAsia"/>
              <w:color w:val="auto"/>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_Toc139103791 \h </w:instrText>
          </w:r>
          <w:r>
            <w:rPr>
              <w:rFonts w:asciiTheme="minorEastAsia" w:hAnsiTheme="minorEastAsia"/>
              <w:sz w:val="24"/>
              <w:szCs w:val="24"/>
            </w:rPr>
            <w:fldChar w:fldCharType="separate"/>
          </w:r>
          <w:r>
            <w:rPr>
              <w:rFonts w:asciiTheme="minorEastAsia" w:hAnsiTheme="minorEastAsia"/>
              <w:sz w:val="24"/>
              <w:szCs w:val="24"/>
            </w:rPr>
            <w:t>24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"_Toc139103792" </w:instrText>
          </w:r>
          <w:r>
            <w:fldChar w:fldCharType="separate"/>
          </w:r>
          <w:r>
            <w:rPr>
              <w:rStyle w:val="22"/>
              <w:rFonts w:hint="eastAsia" w:cs="Times New Roman" w:asciiTheme="minorEastAsia" w:hAnsiTheme="minorEastAsia"/>
              <w:color w:val="auto"/>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_Toc139103792 \h </w:instrText>
          </w:r>
          <w:r>
            <w:rPr>
              <w:rFonts w:asciiTheme="minorEastAsia" w:hAnsiTheme="minorEastAsia"/>
              <w:sz w:val="24"/>
              <w:szCs w:val="24"/>
            </w:rPr>
            <w:fldChar w:fldCharType="separate"/>
          </w:r>
          <w:r>
            <w:rPr>
              <w:rFonts w:asciiTheme="minorEastAsia" w:hAnsiTheme="minorEastAsia"/>
              <w:sz w:val="24"/>
              <w:szCs w:val="24"/>
            </w:rPr>
            <w:t>26</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"_Toc139103793" </w:instrText>
          </w:r>
          <w:r>
            <w:fldChar w:fldCharType="separate"/>
          </w:r>
          <w:r>
            <w:rPr>
              <w:rStyle w:val="22"/>
              <w:rFonts w:hint="eastAsia" w:cs="Times New Roman" w:asciiTheme="minorEastAsia" w:hAnsiTheme="minorEastAsia"/>
              <w:color w:val="auto"/>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_Toc139103793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"_Toc139103794" </w:instrText>
          </w:r>
          <w:r>
            <w:fldChar w:fldCharType="separate"/>
          </w:r>
          <w:r>
            <w:rPr>
              <w:rStyle w:val="22"/>
              <w:rFonts w:hint="eastAsia" w:cs="Times New Roman" w:asciiTheme="minorEastAsia" w:hAnsiTheme="minorEastAsia"/>
              <w:color w:val="auto"/>
              <w:kern w:val="0"/>
              <w:sz w:val="24"/>
              <w:szCs w:val="24"/>
            </w:rPr>
            <w:t>第四章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_Toc139103794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"_Toc139103795" </w:instrText>
          </w:r>
          <w:r>
            <w:fldChar w:fldCharType="separate"/>
          </w:r>
          <w:r>
            <w:rPr>
              <w:rStyle w:val="22"/>
              <w:rFonts w:hint="eastAsia" w:cs="Times New Roman" w:asciiTheme="minorEastAsia" w:hAnsiTheme="minorEastAsia"/>
              <w:color w:val="auto"/>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_Toc139103795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"_Toc139103796" </w:instrText>
          </w:r>
          <w:r>
            <w:fldChar w:fldCharType="separate"/>
          </w:r>
          <w:r>
            <w:rPr>
              <w:rStyle w:val="22"/>
              <w:rFonts w:hint="eastAsia" w:cs="Times New Roman" w:asciiTheme="minorEastAsia" w:hAnsiTheme="minorEastAsia"/>
              <w:color w:val="auto"/>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_Toc139103796 \h </w:instrText>
          </w:r>
          <w:r>
            <w:rPr>
              <w:rFonts w:asciiTheme="minorEastAsia" w:hAnsiTheme="minorEastAsia"/>
              <w:sz w:val="24"/>
              <w:szCs w:val="24"/>
            </w:rPr>
            <w:fldChar w:fldCharType="separate"/>
          </w:r>
          <w:r>
            <w:rPr>
              <w:rFonts w:asciiTheme="minorEastAsia" w:hAnsiTheme="minorEastAsia"/>
              <w:sz w:val="24"/>
              <w:szCs w:val="24"/>
            </w:rPr>
            <w:t>33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"_Toc139103797" </w:instrText>
          </w:r>
          <w:r>
            <w:fldChar w:fldCharType="separate"/>
          </w:r>
          <w:r>
            <w:rPr>
              <w:rStyle w:val="22"/>
              <w:rFonts w:hint="eastAsia" w:cs="Times New Roman" w:asciiTheme="minorEastAsia" w:hAnsiTheme="minorEastAsia"/>
              <w:color w:val="auto"/>
              <w:kern w:val="0"/>
              <w:sz w:val="24"/>
              <w:szCs w:val="24"/>
            </w:rPr>
            <w:t>第五章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_Toc139103797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"_Toc139103798" </w:instrText>
          </w:r>
          <w:r>
            <w:fldChar w:fldCharType="separate"/>
          </w:r>
          <w:r>
            <w:rPr>
              <w:rStyle w:val="22"/>
              <w:rFonts w:hint="eastAsia" w:cs="Times New Roman" w:asciiTheme="minorEastAsia" w:hAnsiTheme="minorEastAsia"/>
              <w:color w:val="auto"/>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_Toc139103798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"_Toc139103799" </w:instrText>
          </w:r>
          <w:r>
            <w:fldChar w:fldCharType="separate"/>
          </w:r>
          <w:r>
            <w:rPr>
              <w:rStyle w:val="22"/>
              <w:rFonts w:hint="eastAsia" w:cs="Times New Roman" w:asciiTheme="minorEastAsia" w:hAnsiTheme="minorEastAsia"/>
              <w:color w:val="auto"/>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_Toc139103799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"_Toc139103800" </w:instrText>
          </w:r>
          <w:r>
            <w:fldChar w:fldCharType="separate"/>
          </w:r>
          <w:r>
            <w:rPr>
              <w:rStyle w:val="22"/>
              <w:rFonts w:hint="eastAsia" w:cs="Times New Roman" w:asciiTheme="minorEastAsia" w:hAnsiTheme="minorEastAsia"/>
              <w:color w:val="auto"/>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_Toc139103800 \h </w:instrText>
          </w:r>
          <w:r>
            <w:rPr>
              <w:rFonts w:asciiTheme="minorEastAsia" w:hAnsiTheme="minorEastAsia"/>
              <w:sz w:val="24"/>
              <w:szCs w:val="24"/>
            </w:rPr>
            <w:fldChar w:fldCharType="separate"/>
          </w:r>
          <w:r>
            <w:rPr>
              <w:rFonts w:asciiTheme="minorEastAsia" w:hAnsiTheme="minorEastAsia"/>
              <w:sz w:val="24"/>
              <w:szCs w:val="24"/>
            </w:rPr>
            <w:t>56</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"_Toc139103801" </w:instrText>
          </w:r>
          <w:r>
            <w:fldChar w:fldCharType="separate"/>
          </w:r>
          <w:r>
            <w:rPr>
              <w:rStyle w:val="22"/>
              <w:rFonts w:hint="eastAsia" w:cs="Times New Roman" w:asciiTheme="minorEastAsia" w:hAnsiTheme="minorEastAsia"/>
              <w:color w:val="auto"/>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_Toc139103801 \h </w:instrText>
          </w:r>
          <w:r>
            <w:rPr>
              <w:rFonts w:asciiTheme="minorEastAsia" w:hAnsiTheme="minorEastAsia"/>
              <w:sz w:val="24"/>
              <w:szCs w:val="24"/>
            </w:rPr>
            <w:fldChar w:fldCharType="separate"/>
          </w:r>
          <w:r>
            <w:rPr>
              <w:rFonts w:asciiTheme="minorEastAsia" w:hAnsiTheme="minorEastAsia"/>
              <w:sz w:val="24"/>
              <w:szCs w:val="24"/>
            </w:rPr>
            <w:t>69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"_Toc139103802" </w:instrText>
          </w:r>
          <w:r>
            <w:fldChar w:fldCharType="separate"/>
          </w:r>
          <w:r>
            <w:rPr>
              <w:rStyle w:val="22"/>
              <w:rFonts w:hint="eastAsia" w:cs="Times New Roman" w:asciiTheme="minorEastAsia" w:hAnsiTheme="minorEastAsia"/>
              <w:color w:val="auto"/>
              <w:kern w:val="0"/>
              <w:sz w:val="24"/>
              <w:szCs w:val="24"/>
            </w:rPr>
            <w:t>第六章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_Toc139103802 \h </w:instrText>
          </w:r>
          <w:r>
            <w:rPr>
              <w:rFonts w:asciiTheme="minorEastAsia" w:hAnsiTheme="minorEastAsia"/>
              <w:sz w:val="24"/>
              <w:szCs w:val="24"/>
            </w:rPr>
            <w:fldChar w:fldCharType="separate"/>
          </w:r>
          <w:r>
            <w:rPr>
              <w:rFonts w:asciiTheme="minorEastAsia" w:hAnsiTheme="minorEastAsia"/>
              <w:sz w:val="24"/>
              <w:szCs w:val="24"/>
            </w:rPr>
            <w:t>71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"_Toc139103803" </w:instrText>
          </w:r>
          <w:r>
            <w:fldChar w:fldCharType="separate"/>
          </w:r>
          <w:r>
            <w:rPr>
              <w:rStyle w:val="22"/>
              <w:rFonts w:hint="eastAsia" w:cs="Times New Roman" w:asciiTheme="minorEastAsia" w:hAnsiTheme="minorEastAsia"/>
              <w:color w:val="auto"/>
              <w:kern w:val="0"/>
              <w:sz w:val="24"/>
              <w:szCs w:val="24"/>
            </w:rPr>
            <w:t>第七章</w:t>
          </w:r>
          <w:r>
            <w:rPr>
              <w:rStyle w:val="22"/>
              <w:rFonts w:cs="Times New Roman" w:asciiTheme="minorEastAsia" w:hAnsiTheme="minorEastAsia"/>
              <w:color w:val="auto"/>
              <w:kern w:val="0"/>
              <w:sz w:val="24"/>
              <w:szCs w:val="24"/>
            </w:rPr>
            <w:t xml:space="preserve">  </w:t>
          </w:r>
          <w:r>
            <w:rPr>
              <w:rStyle w:val="22"/>
              <w:rFonts w:hint="eastAsia" w:cs="Times New Roman" w:asciiTheme="minorEastAsia" w:hAnsiTheme="minorEastAsia"/>
              <w:color w:val="auto"/>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_Toc139103803 \h </w:instrText>
          </w:r>
          <w:r>
            <w:rPr>
              <w:rFonts w:asciiTheme="minorEastAsia" w:hAnsiTheme="minorEastAsia"/>
              <w:sz w:val="24"/>
              <w:szCs w:val="24"/>
            </w:rPr>
            <w:fldChar w:fldCharType="separate"/>
          </w:r>
          <w:r>
            <w:rPr>
              <w:rFonts w:asciiTheme="minorEastAsia" w:hAnsiTheme="minorEastAsia"/>
              <w:sz w:val="24"/>
              <w:szCs w:val="24"/>
            </w:rPr>
            <w:t>77</w:t>
          </w:r>
          <w:r>
            <w:rPr>
              <w:rFonts w:asciiTheme="minorEastAsia" w:hAnsiTheme="minorEastAsia"/>
              <w:sz w:val="24"/>
              <w:szCs w:val="24"/>
            </w:rPr>
            <w:fldChar w:fldCharType="end"/>
          </w:r>
          <w:r>
            <w:rPr>
              <w:rFonts w:asciiTheme="minorEastAsia" w:hAnsiTheme="minorEastAsia"/>
              <w:sz w:val="24"/>
              <w:szCs w:val="24"/>
            </w:rPr>
            <w:fldChar w:fldCharType="end"/>
          </w:r>
        </w:p>
        <w:p>
          <w:pPr>
            <w:spacing w:line="360" w:lineRule="auto"/>
            <w:rPr>
              <w:rFonts w:asciiTheme="minorEastAsia" w:hAnsiTheme="minorEastAsia"/>
              <w:sz w:val="24"/>
              <w:szCs w:val="24"/>
            </w:rPr>
          </w:pPr>
          <w:r>
            <w:rPr>
              <w:rFonts w:asciiTheme="minorEastAsia" w:hAnsiTheme="minorEastAsia"/>
              <w:sz w:val="24"/>
              <w:szCs w:val="24"/>
            </w:rPr>
            <w:fldChar w:fldCharType="end"/>
          </w:r>
        </w:p>
      </w:sdtContent>
    </w:sdt>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0" w:name="_Toc139103779"/>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厦门市公物投资管理有限公司采用公开招标方式组织</w:t>
      </w:r>
      <w:r>
        <w:rPr>
          <w:rFonts w:asciiTheme="minorEastAsia" w:hAnsiTheme="minorEastAsia"/>
          <w:b/>
          <w:bCs/>
          <w:sz w:val="24"/>
          <w:szCs w:val="24"/>
          <w:u w:val="single"/>
        </w:rPr>
        <w:t>DSA</w:t>
      </w:r>
      <w:r>
        <w:rPr>
          <w:rFonts w:asciiTheme="minorEastAsia" w:hAnsiTheme="minorEastAsia"/>
          <w:sz w:val="24"/>
          <w:szCs w:val="24"/>
        </w:rPr>
        <w:t>（以下简称：“本项目”）的政府采购活动，现邀请供应商参加投标。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1、备案编号：CGXM-2023-350201-01314[2023]01041</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2、项目编号：[350201]GWTZ[GK]2023034</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进口产品：本项目不接受进口产品参与投标。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节能产品：按照节能产品政府采购品目清单执行。</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环境标志产品：按照环境标志产品政府采购品目清单执行。</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促进中小企业发展的相关政策：</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采购包1：不专门面向中小企业采购</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55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spacing w:line="360" w:lineRule="auto"/>
              <w:jc w:val="center"/>
              <w:rPr>
                <w:sz w:val="24"/>
                <w:szCs w:val="24"/>
              </w:rPr>
            </w:pPr>
            <w:r>
              <w:rPr>
                <w:sz w:val="24"/>
                <w:szCs w:val="24"/>
              </w:rPr>
              <w:t>资格审查要求概况</w:t>
            </w:r>
          </w:p>
        </w:tc>
        <w:tc>
          <w:tcPr>
            <w:tcW w:w="5569" w:type="dxa"/>
            <w:vAlign w:val="center"/>
          </w:tcPr>
          <w:p>
            <w:pPr>
              <w:spacing w:line="360" w:lineRule="auto"/>
              <w:jc w:val="center"/>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5569" w:type="dxa"/>
            <w:vAlign w:val="center"/>
          </w:tcPr>
          <w:p>
            <w:pPr>
              <w:spacing w:line="360"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pPr>
              <w:spacing w:line="360"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pPr>
              <w:spacing w:line="360"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pPr>
              <w:spacing w:line="360"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pPr>
              <w:spacing w:line="360"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widowControl/>
              <w:spacing w:line="360"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5569" w:type="dxa"/>
            <w:vAlign w:val="center"/>
          </w:tcPr>
          <w:p>
            <w:pPr>
              <w:widowControl/>
              <w:spacing w:line="360" w:lineRule="auto"/>
              <w:rPr>
                <w:rFonts w:ascii="宋体" w:hAnsi="宋体" w:cs="宋体"/>
                <w:kern w:val="0"/>
                <w:sz w:val="24"/>
                <w:szCs w:val="20"/>
              </w:rPr>
            </w:pPr>
            <w:r>
              <w:rPr>
                <w:rFonts w:hint="eastAsia" w:ascii="宋体" w:hAnsi="宋体" w:cs="宋体"/>
                <w:kern w:val="0"/>
                <w:sz w:val="24"/>
                <w:szCs w:val="20"/>
              </w:rPr>
              <w:t>1.投标人须根据所投的医疗器械分类，提供以下材料：第一类医疗器械提供《产品备案证明》；第二类、第三类医疗器械提供相应的《医疗器械注册证》。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widowControl/>
              <w:spacing w:line="360"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5569" w:type="dxa"/>
            <w:vAlign w:val="center"/>
          </w:tcPr>
          <w:p>
            <w:pPr>
              <w:widowControl/>
              <w:spacing w:line="360" w:lineRule="auto"/>
              <w:rPr>
                <w:rFonts w:ascii="宋体" w:hAnsi="宋体" w:cs="宋体"/>
                <w:kern w:val="0"/>
                <w:sz w:val="24"/>
                <w:szCs w:val="20"/>
              </w:rPr>
            </w:pPr>
            <w:r>
              <w:rPr>
                <w:rFonts w:hint="eastAsia" w:ascii="宋体" w:hAnsi="宋体" w:cs="宋体"/>
                <w:kern w:val="0"/>
                <w:sz w:val="24"/>
                <w:szCs w:val="20"/>
              </w:rPr>
              <w:t>2.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采购包1：不接受。</w:t>
      </w:r>
    </w:p>
    <w:p>
      <w:pPr>
        <w:pStyle w:val="55"/>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pPr>
        <w:pStyle w:val="55"/>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pPr>
        <w:pStyle w:val="55"/>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55"/>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pPr>
        <w:pStyle w:val="55"/>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pPr>
        <w:pStyle w:val="55"/>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11、采购人：复旦大学附属肿瘤医院厦门医院</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地址：福建省厦门市海沧区马銮湾新城西部东瑶村</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邮编：361026</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联系人：王工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联系电话：0592-6058802</w:t>
      </w:r>
    </w:p>
    <w:p>
      <w:pPr>
        <w:pStyle w:val="55"/>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12、代理机构：厦门市公物投资管理有限公司</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地址：厦门市湖滨南路81号光大银行大厦18楼</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邮编：361001</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联系人：胡馨文、林琦、黄振斌</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联系电话：0592-2279312、2279309</w:t>
      </w:r>
    </w:p>
    <w:p>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开户名称：厦门市公物投资管理有限公司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pPr>
        <w:pStyle w:val="55"/>
        <w:widowControl w:val="0"/>
        <w:spacing w:line="360" w:lineRule="auto"/>
        <w:ind w:firstLine="482" w:firstLineChars="200"/>
        <w:rPr>
          <w:rFonts w:hint="default" w:asciiTheme="minorEastAsia" w:hAnsiTheme="minorEastAsia"/>
          <w:b/>
          <w:sz w:val="24"/>
          <w:szCs w:val="24"/>
        </w:rPr>
      </w:pPr>
    </w:p>
    <w:p>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采购包预算金额（元）：8000000.00</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采购包最高限价（元）：8000000.00</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60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18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DSA</w:t>
            </w:r>
          </w:p>
        </w:tc>
        <w:tc>
          <w:tcPr>
            <w:tcW w:w="118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1.00</w:t>
            </w:r>
          </w:p>
        </w:tc>
        <w:tc>
          <w:tcPr>
            <w:tcW w:w="177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8000000.00</w:t>
            </w:r>
          </w:p>
        </w:tc>
        <w:tc>
          <w:tcPr>
            <w:tcW w:w="118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套</w:t>
            </w:r>
          </w:p>
        </w:tc>
        <w:tc>
          <w:tcPr>
            <w:tcW w:w="118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工业</w:t>
            </w:r>
          </w:p>
        </w:tc>
        <w:tc>
          <w:tcPr>
            <w:tcW w:w="118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否</w:t>
            </w:r>
          </w:p>
        </w:tc>
      </w:tr>
    </w:tbl>
    <w:p>
      <w:pPr>
        <w:pStyle w:val="55"/>
        <w:widowControl w:val="0"/>
        <w:rPr>
          <w:rFonts w:hint="default"/>
        </w:rPr>
      </w:pPr>
    </w:p>
    <w:p>
      <w:pPr>
        <w:pStyle w:val="55"/>
        <w:widowControl w:val="0"/>
        <w:rPr>
          <w:rFonts w:hint="default"/>
        </w:rPr>
        <w:sectPr>
          <w:pgSz w:w="11906" w:h="16838"/>
          <w:pgMar w:top="1418" w:right="1418" w:bottom="1418" w:left="1418" w:header="851" w:footer="992" w:gutter="0"/>
          <w:cols w:space="425" w:num="1"/>
          <w:docGrid w:type="lines" w:linePitch="312" w:charSpace="0"/>
        </w:sectPr>
      </w:pPr>
    </w:p>
    <w:p>
      <w:pPr>
        <w:pStyle w:val="55"/>
        <w:widowControl w:val="0"/>
        <w:rPr>
          <w:rFonts w:hint="default"/>
        </w:rPr>
        <w:sectPr>
          <w:type w:val="continuous"/>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 w:name="_Toc139103780"/>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pPr>
        <w:pStyle w:val="4"/>
        <w:spacing w:before="312" w:beforeLines="100" w:after="312" w:afterLines="100" w:line="240" w:lineRule="auto"/>
        <w:jc w:val="center"/>
        <w:rPr>
          <w:rFonts w:ascii="黑体" w:hAnsi="黑体" w:eastAsia="黑体" w:cs="Times New Roman"/>
          <w:kern w:val="0"/>
          <w:sz w:val="30"/>
        </w:rPr>
      </w:pPr>
      <w:bookmarkStart w:id="2" w:name="_Toc139103781"/>
      <w:r>
        <w:rPr>
          <w:rFonts w:ascii="黑体" w:hAnsi="黑体" w:eastAsia="黑体" w:cs="Times New Roman"/>
          <w:kern w:val="0"/>
          <w:sz w:val="30"/>
        </w:rPr>
        <w:t>一、投标人须知前附表1</w:t>
      </w:r>
      <w:bookmarkEnd w:id="2"/>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（2）质疑时效期间：应在依法获取招标文件之日起7个工作日内向厦门市公物投资管理有限公司提出，依法获取招标文件的时间以福建省政府采购网上公开信息系统记载的为准。</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w:t>
            </w:r>
            <w:r>
              <w:rPr>
                <w:rFonts w:hint="default" w:asciiTheme="minorEastAsia" w:hAnsiTheme="minorEastAsia"/>
                <w:sz w:val="24"/>
                <w:szCs w:val="24"/>
              </w:rPr>
              <w:t xml:space="preserve"> </w:t>
            </w:r>
            <w:r>
              <w:rPr>
                <w:rFonts w:asciiTheme="minorEastAsia" w:hAnsiTheme="minorEastAsia"/>
                <w:sz w:val="24"/>
                <w:szCs w:val="24"/>
              </w:rPr>
              <w:t>（1）以单个采购包的中标总金额为准，按差额定率累进法计取，具体按以下标准计取：（0，100万元]，1.20%；（100万元，500万元]，0.88%；（500万元，1000万元]，0.64%。（2）代理服务费由中标人在领取中标通知书的同时，以转账、电汇、现金存款等付款方式一次性缴清。（3）符合中小企业政策规定且资料提供完整的企业，中标后可享受服务费下浮10%的优惠。（4）因供应商自身原因导致最终无法承接项目的，代理服务费不予退还。</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pPr>
        <w:pStyle w:val="4"/>
        <w:spacing w:before="312" w:beforeLines="100" w:after="312" w:afterLines="100" w:line="240" w:lineRule="auto"/>
        <w:jc w:val="center"/>
        <w:rPr>
          <w:rFonts w:ascii="黑体" w:hAnsi="黑体" w:eastAsia="黑体" w:cs="Times New Roman"/>
          <w:kern w:val="0"/>
          <w:sz w:val="30"/>
        </w:rPr>
      </w:pPr>
      <w:bookmarkStart w:id="3" w:name="_Toc139103782"/>
      <w:r>
        <w:rPr>
          <w:rFonts w:ascii="黑体" w:hAnsi="黑体" w:eastAsia="黑体" w:cs="Times New Roman"/>
          <w:kern w:val="0"/>
          <w:sz w:val="30"/>
        </w:rPr>
        <w:t>二、投标人须知前附表2</w:t>
      </w:r>
      <w:bookmarkEnd w:id="3"/>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tblPrEx>
          <w:tblCellMar>
            <w:top w:w="0" w:type="dxa"/>
            <w:left w:w="108" w:type="dxa"/>
            <w:bottom w:w="0" w:type="dxa"/>
            <w:right w:w="108" w:type="dxa"/>
          </w:tblCellMar>
        </w:tblPrEx>
        <w:trPr>
          <w:jc w:val="center"/>
        </w:trPr>
        <w:tc>
          <w:tcPr>
            <w:tcW w:w="9257" w:type="dxa"/>
            <w:gridSpan w:val="2"/>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pPr>
              <w:pStyle w:val="55"/>
              <w:spacing w:line="360" w:lineRule="auto"/>
              <w:rPr>
                <w:rFonts w:hint="default" w:asciiTheme="minorEastAsia" w:hAnsiTheme="minorEastAsia"/>
                <w:sz w:val="24"/>
                <w:szCs w:val="24"/>
              </w:rPr>
            </w:pPr>
            <w:r>
              <w:rPr>
                <w:rFonts w:asciiTheme="minorEastAsia" w:hAnsiTheme="minorEastAsia"/>
                <w:sz w:val="24"/>
                <w:szCs w:val="24"/>
              </w:rPr>
              <w:t>（2）将招标文件</w:t>
            </w:r>
          </w:p>
          <w:p>
            <w:pPr>
              <w:pStyle w:val="55"/>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pPr>
              <w:pStyle w:val="55"/>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pPr>
              <w:pStyle w:val="55"/>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pPr>
              <w:pStyle w:val="55"/>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pPr>
              <w:pStyle w:val="55"/>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pPr>
              <w:pStyle w:val="55"/>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pPr>
              <w:pStyle w:val="55"/>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5"/>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pPr>
              <w:pStyle w:val="55"/>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5"/>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55"/>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pPr>
              <w:pStyle w:val="55"/>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pPr>
              <w:pStyle w:val="55"/>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pPr>
              <w:pStyle w:val="55"/>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pPr>
              <w:pStyle w:val="55"/>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pPr>
              <w:pStyle w:val="55"/>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pPr>
              <w:pStyle w:val="55"/>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pPr>
              <w:pStyle w:val="55"/>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pPr>
              <w:pStyle w:val="55"/>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pPr>
              <w:pStyle w:val="55"/>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pPr>
              <w:pStyle w:val="55"/>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pPr>
              <w:pStyle w:val="55"/>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pPr>
              <w:pStyle w:val="55"/>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pPr>
              <w:pStyle w:val="55"/>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pPr>
              <w:pStyle w:val="55"/>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pPr>
              <w:pStyle w:val="55"/>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pPr>
              <w:pStyle w:val="55"/>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⑧其他：无</w:t>
            </w:r>
          </w:p>
        </w:tc>
      </w:tr>
    </w:tbl>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 w:name="_Toc139103783"/>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pPr>
        <w:pStyle w:val="4"/>
        <w:spacing w:before="312" w:beforeLines="100" w:after="312" w:afterLines="100" w:line="240" w:lineRule="auto"/>
        <w:jc w:val="center"/>
        <w:rPr>
          <w:rFonts w:ascii="黑体" w:hAnsi="黑体" w:eastAsia="黑体" w:cs="Times New Roman"/>
          <w:kern w:val="0"/>
          <w:sz w:val="30"/>
        </w:rPr>
      </w:pPr>
      <w:bookmarkStart w:id="5" w:name="_Toc139103784"/>
      <w:r>
        <w:rPr>
          <w:rFonts w:ascii="黑体" w:hAnsi="黑体" w:eastAsia="黑体" w:cs="Times New Roman"/>
          <w:kern w:val="0"/>
          <w:sz w:val="30"/>
        </w:rPr>
        <w:t>一、总则</w:t>
      </w:r>
      <w:bookmarkEnd w:id="5"/>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pPr>
        <w:pStyle w:val="4"/>
        <w:spacing w:before="312" w:beforeLines="100" w:after="312" w:afterLines="100" w:line="240" w:lineRule="auto"/>
        <w:jc w:val="center"/>
        <w:rPr>
          <w:rFonts w:ascii="黑体" w:hAnsi="黑体" w:eastAsia="黑体" w:cs="Times New Roman"/>
          <w:kern w:val="0"/>
          <w:sz w:val="30"/>
        </w:rPr>
      </w:pPr>
      <w:bookmarkStart w:id="6" w:name="_Toc139103785"/>
      <w:r>
        <w:rPr>
          <w:rFonts w:ascii="黑体" w:hAnsi="黑体" w:eastAsia="黑体" w:cs="Times New Roman"/>
          <w:kern w:val="0"/>
          <w:sz w:val="30"/>
        </w:rPr>
        <w:t>二、投标人</w:t>
      </w:r>
      <w:bookmarkEnd w:id="6"/>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pPr>
        <w:pStyle w:val="4"/>
        <w:spacing w:before="312" w:beforeLines="100" w:after="312" w:afterLines="100" w:line="240" w:lineRule="auto"/>
        <w:jc w:val="center"/>
        <w:rPr>
          <w:rFonts w:ascii="黑体" w:hAnsi="黑体" w:eastAsia="黑体" w:cs="Times New Roman"/>
          <w:kern w:val="0"/>
          <w:sz w:val="30"/>
        </w:rPr>
      </w:pPr>
      <w:bookmarkStart w:id="7" w:name="_Toc139103786"/>
      <w:r>
        <w:rPr>
          <w:rFonts w:ascii="黑体" w:hAnsi="黑体" w:eastAsia="黑体" w:cs="Times New Roman"/>
          <w:kern w:val="0"/>
          <w:sz w:val="30"/>
        </w:rPr>
        <w:t>三、招标</w:t>
      </w:r>
      <w:bookmarkEnd w:id="7"/>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（1）厦门市公物投资管理有限公司可对已发出的招标文件进行必要的澄清或修改，但不得对招标文件载明的采购标的和投标人的资格要求进行改变。</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投资管理有限公司将在投标截止时间至少15个日历日前，在招标文件载明的指定媒体以更正公告的形式发布澄清或修改的内容。不足15个日历日的，厦门市公物投资管理有限公司将顺延投标截止时间及开标时间，厦门市公物投资管理有限公司和投标人受原投标截止时间及开标时间制约的所有权利和义务均延长至新的投标截止时间及开标时间。</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投资管理有限公司将依法组织后续采购活动（包括但不限于：重新招标、采用其他方式采购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7.1若厦门市公物投资管理有限公司发布更正公告，则更正公告及其所发布的内容或信息（包括但不限于：招标文件的澄清或修改、现场考察或答疑会的有关事宜等）作为招标文件组成部分，对投标人具有约束力。</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7.2更正公告作为厦门市公物投资管理有限公司通知所有潜在投标人的书面形式。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8.1若出现因重大变故导致采购任务取消情形，厦门市公物投资管理有限公司可终止招标并发布终止公告。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8.2终止公告作为厦门市公物投资管理有限公司通知所有潜在投标人的书面形式。</w:t>
      </w:r>
    </w:p>
    <w:p>
      <w:pPr>
        <w:pStyle w:val="4"/>
        <w:spacing w:before="312" w:beforeLines="100" w:after="312" w:afterLines="100" w:line="240" w:lineRule="auto"/>
        <w:jc w:val="center"/>
        <w:rPr>
          <w:rFonts w:ascii="黑体" w:hAnsi="黑体" w:eastAsia="黑体" w:cs="Times New Roman"/>
          <w:kern w:val="0"/>
          <w:sz w:val="30"/>
        </w:rPr>
      </w:pPr>
      <w:bookmarkStart w:id="8" w:name="_Toc139103787"/>
      <w:r>
        <w:rPr>
          <w:rFonts w:ascii="黑体" w:hAnsi="黑体" w:eastAsia="黑体" w:cs="Times New Roman"/>
          <w:kern w:val="0"/>
          <w:sz w:val="30"/>
        </w:rPr>
        <w:t>四、投标</w:t>
      </w:r>
      <w:bookmarkEnd w:id="8"/>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①开标一览表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②投标分项报价表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投资管理有限公司的指示进行的，或是为改正投标人造成的应修改的错误而进行的。若有前述改动，应按照下列规定之一对改动处进行处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投资管理有限公司可于投标有效期届满之前书面要求投标人延长投标有效期，投标人应在厦门市公物投资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①在投标截止时间前撤回已提交的电子投标文件的投标人，其投标保证金将在厦门市公物投资管理有限公司收到投标人书面撤回通知之日起5个工作日内退回原账户。</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④终止招标的，厦门市公物投资管理有限公司将在终止公告发布之日起5个工作日内退回已收取的投标保证金及其在银行产生的孳息。</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（1）投标截止时间前，投标人可对所提交的电子投标文件进行补充、修改或撤回，并书面通知厦门市公物投资管理有限公司。</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pPr>
        <w:pStyle w:val="4"/>
        <w:spacing w:before="312" w:beforeLines="100" w:after="312" w:afterLines="100" w:line="240" w:lineRule="auto"/>
        <w:jc w:val="center"/>
        <w:rPr>
          <w:rFonts w:ascii="黑体" w:hAnsi="黑体" w:eastAsia="黑体" w:cs="Times New Roman"/>
          <w:kern w:val="0"/>
          <w:sz w:val="30"/>
        </w:rPr>
      </w:pPr>
      <w:bookmarkStart w:id="9" w:name="_Toc139103788"/>
      <w:r>
        <w:rPr>
          <w:rFonts w:ascii="黑体" w:hAnsi="黑体" w:eastAsia="黑体" w:cs="Times New Roman"/>
          <w:kern w:val="0"/>
          <w:sz w:val="30"/>
        </w:rPr>
        <w:t>五、开标</w:t>
      </w:r>
      <w:bookmarkEnd w:id="9"/>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11.1厦门市公物投资管理有限公司将在招标文件载明的开标时间及地点主持召开开标会，并邀请投标人参加。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11.2开标会的主持人、唱标人、记录人及其他工作人员（若有）均由厦门市公物投资管理有限公司派出，现场监督人员（若有）可由有关方面派出。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投资管理有限公司提出任何疑义或要求（包括质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11.5投标截止时间后，参加投标的投标人不足三家的，不进行开标。同时，本次采购活动结束，厦门市公物投资管理有限公司将依法组织后续采购活动（包括但不限于：重新招标、采用其他方式采购等）。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pPr>
        <w:pStyle w:val="4"/>
        <w:spacing w:before="312" w:beforeLines="100" w:after="312" w:afterLines="100" w:line="240" w:lineRule="auto"/>
        <w:jc w:val="center"/>
        <w:rPr>
          <w:rFonts w:ascii="黑体" w:hAnsi="黑体" w:eastAsia="黑体" w:cs="Times New Roman"/>
          <w:kern w:val="0"/>
          <w:sz w:val="30"/>
        </w:rPr>
      </w:pPr>
      <w:bookmarkStart w:id="10" w:name="_Toc139103789"/>
      <w:r>
        <w:rPr>
          <w:rFonts w:ascii="黑体" w:hAnsi="黑体" w:eastAsia="黑体" w:cs="Times New Roman"/>
          <w:kern w:val="0"/>
          <w:sz w:val="30"/>
        </w:rPr>
        <w:t>六、中标与政府采购合同</w:t>
      </w:r>
      <w:bookmarkEnd w:id="10"/>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（1）中标人确定之日起2个工作日内，厦门市公物投资管理有限公司将在招标文件载明的指定媒体以中标公告的形式发布中标结果。</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（1）中标公告发布的同时，厦门市公物投资管理有限公司将向中标人发出中标通知书。</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pPr>
        <w:pStyle w:val="4"/>
        <w:spacing w:before="312" w:beforeLines="100" w:after="312" w:afterLines="100" w:line="240" w:lineRule="auto"/>
        <w:jc w:val="center"/>
        <w:rPr>
          <w:rFonts w:ascii="黑体" w:hAnsi="黑体" w:eastAsia="黑体" w:cs="Times New Roman"/>
          <w:kern w:val="0"/>
          <w:sz w:val="30"/>
        </w:rPr>
      </w:pPr>
      <w:bookmarkStart w:id="11" w:name="_Toc139103790"/>
      <w:r>
        <w:rPr>
          <w:rFonts w:ascii="黑体" w:hAnsi="黑体" w:eastAsia="黑体" w:cs="Times New Roman"/>
          <w:kern w:val="0"/>
          <w:sz w:val="30"/>
        </w:rPr>
        <w:t>七、询问、质疑与投诉</w:t>
      </w:r>
      <w:bookmarkEnd w:id="11"/>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14.1潜在投标人或投标人对本次采购活动的有关事项若有疑问，可向厦门市公物投资管理有限公司提出询问，厦门市公物投资管理有限公司将按照政府采购法及实施条例的有关规定进行答复。</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投资管理有限公司对其质疑作出的处理结果，如：暂停招标投标活动、修改招标文件、停止或纠正违法违规行为、中标结果无效、废标、重新招标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pPr>
        <w:pStyle w:val="4"/>
        <w:spacing w:before="312" w:beforeLines="100" w:after="312" w:afterLines="100" w:line="240" w:lineRule="auto"/>
        <w:jc w:val="center"/>
        <w:rPr>
          <w:rFonts w:ascii="黑体" w:hAnsi="黑体" w:eastAsia="黑体" w:cs="Times New Roman"/>
          <w:kern w:val="0"/>
          <w:sz w:val="30"/>
        </w:rPr>
      </w:pPr>
      <w:bookmarkStart w:id="12" w:name="_Toc139103791"/>
      <w:r>
        <w:rPr>
          <w:rFonts w:ascii="黑体" w:hAnsi="黑体" w:eastAsia="黑体" w:cs="Times New Roman"/>
          <w:kern w:val="0"/>
          <w:sz w:val="30"/>
        </w:rPr>
        <w:t>八、政府采购政策</w:t>
      </w:r>
      <w:bookmarkEnd w:id="12"/>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17.5信用记录指由财政部确定的有关网站提供的相关主体信用信息。信用记录的查询及使用应符合财政部文件（财库[2016]125号）规定。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17.6为落实政府采购政策需满足的要求：详见招标文件第一章。</w:t>
      </w:r>
    </w:p>
    <w:p>
      <w:pPr>
        <w:pStyle w:val="4"/>
        <w:spacing w:before="312" w:beforeLines="100" w:after="312" w:afterLines="100" w:line="240" w:lineRule="auto"/>
        <w:jc w:val="center"/>
        <w:rPr>
          <w:rFonts w:ascii="黑体" w:hAnsi="黑体" w:eastAsia="黑体" w:cs="Times New Roman"/>
          <w:kern w:val="0"/>
          <w:sz w:val="30"/>
        </w:rPr>
      </w:pPr>
      <w:bookmarkStart w:id="13" w:name="_Toc139103792"/>
      <w:r>
        <w:rPr>
          <w:rFonts w:ascii="黑体" w:hAnsi="黑体" w:eastAsia="黑体" w:cs="Times New Roman"/>
          <w:kern w:val="0"/>
          <w:sz w:val="30"/>
        </w:rPr>
        <w:t>九、本项目的有关信息</w:t>
      </w:r>
      <w:bookmarkEnd w:id="13"/>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pPr>
        <w:pStyle w:val="4"/>
        <w:spacing w:before="312" w:beforeLines="100" w:after="312" w:afterLines="100" w:line="240" w:lineRule="auto"/>
        <w:jc w:val="center"/>
        <w:rPr>
          <w:rFonts w:ascii="黑体" w:hAnsi="黑体" w:eastAsia="黑体" w:cs="Times New Roman"/>
          <w:kern w:val="0"/>
          <w:sz w:val="30"/>
        </w:rPr>
      </w:pPr>
      <w:bookmarkStart w:id="14" w:name="_Toc139103793"/>
      <w:r>
        <w:rPr>
          <w:rFonts w:ascii="黑体" w:hAnsi="黑体" w:eastAsia="黑体" w:cs="Times New Roman"/>
          <w:kern w:val="0"/>
          <w:sz w:val="30"/>
        </w:rPr>
        <w:t>十、其他事项</w:t>
      </w:r>
      <w:bookmarkEnd w:id="14"/>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5" w:name="_Toc139103794"/>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pPr>
        <w:pStyle w:val="4"/>
        <w:spacing w:before="312" w:beforeLines="100" w:after="312" w:afterLines="100" w:line="240" w:lineRule="auto"/>
        <w:jc w:val="center"/>
        <w:rPr>
          <w:rFonts w:ascii="黑体" w:hAnsi="黑体" w:eastAsia="黑体" w:cs="Times New Roman"/>
          <w:kern w:val="0"/>
          <w:sz w:val="30"/>
        </w:rPr>
      </w:pPr>
      <w:bookmarkStart w:id="16" w:name="_Toc139103795"/>
      <w:r>
        <w:rPr>
          <w:rFonts w:ascii="黑体" w:hAnsi="黑体" w:eastAsia="黑体" w:cs="Times New Roman"/>
          <w:kern w:val="0"/>
          <w:sz w:val="30"/>
        </w:rPr>
        <w:t>一、资格审查</w:t>
      </w:r>
      <w:bookmarkEnd w:id="16"/>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1、开标结束后，由厦门市公物投资管理有限公司负责资格审查小组的组建及资格审查工作的组织。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投资管理有限公司派出的工作人员至少1人，其余1人可为采购人代表或厦门市公物投资管理有限公司的工作人员。</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9</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②.其他资格证明文件：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8"/>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left"/>
              <w:rPr>
                <w:rFonts w:asciiTheme="minorEastAsia" w:hAnsiTheme="minorEastAsia"/>
                <w:sz w:val="24"/>
                <w:szCs w:val="24"/>
              </w:rPr>
            </w:pPr>
            <w:r>
              <w:t>信用记录要求（招标文件其他地方要求与本条款要求不一致的，以本条款要求为准）</w:t>
            </w:r>
          </w:p>
        </w:tc>
        <w:tc>
          <w:tcPr>
            <w:tcW w:w="5545" w:type="dxa"/>
            <w:vAlign w:val="center"/>
          </w:tcPr>
          <w:p>
            <w:pPr>
              <w:spacing w:line="360" w:lineRule="auto"/>
              <w:jc w:val="left"/>
              <w:rPr>
                <w:rFonts w:asciiTheme="minorEastAsia" w:hAnsiTheme="minorEastAsia"/>
                <w:sz w:val="24"/>
                <w:szCs w:val="24"/>
              </w:rPr>
            </w:pPr>
            <w: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left"/>
            </w:pPr>
            <w:r>
              <w:t>采购人根据采购项目的要求规定的特定条件</w:t>
            </w:r>
          </w:p>
        </w:tc>
        <w:tc>
          <w:tcPr>
            <w:tcW w:w="5545" w:type="dxa"/>
            <w:vAlign w:val="center"/>
          </w:tcPr>
          <w:p>
            <w:pPr>
              <w:spacing w:line="360" w:lineRule="auto"/>
              <w:jc w:val="left"/>
            </w:pPr>
            <w:r>
              <w:rPr>
                <w:rFonts w:hint="eastAsia"/>
              </w:rPr>
              <w:t>1.投标人须根据所投的医疗器械分类，提供以下材料：第一类医疗器械提供《产品备案证明》；第二类、第三类医疗器械提供相应的《医疗器械注册证》。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left"/>
            </w:pPr>
            <w:r>
              <w:t>采购人根据采购项目的要求规定的特定条件</w:t>
            </w:r>
          </w:p>
        </w:tc>
        <w:tc>
          <w:tcPr>
            <w:tcW w:w="5545" w:type="dxa"/>
            <w:vAlign w:val="center"/>
          </w:tcPr>
          <w:p>
            <w:pPr>
              <w:spacing w:line="360" w:lineRule="auto"/>
              <w:jc w:val="left"/>
            </w:pPr>
            <w:r>
              <w:rPr>
                <w:rFonts w:hint="eastAsia"/>
              </w:rPr>
              <w:t>2.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8"/>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jc w:val="center"/>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rPr>
                <w:sz w:val="24"/>
                <w:szCs w:val="24"/>
              </w:rPr>
            </w:pPr>
            <w:r>
              <w:rPr>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27" w:type="dxa"/>
          </w:tcPr>
          <w:p>
            <w:pPr>
              <w:spacing w:line="360" w:lineRule="auto"/>
              <w:rPr>
                <w:sz w:val="24"/>
                <w:szCs w:val="24"/>
              </w:rPr>
            </w:pPr>
            <w:r>
              <w:rPr>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rPr>
                <w:sz w:val="24"/>
                <w:szCs w:val="24"/>
              </w:rPr>
            </w:pPr>
            <w:r>
              <w:rPr>
                <w:sz w:val="24"/>
                <w:szCs w:val="24"/>
              </w:rPr>
              <w:t>未按照招标文件规定提交投标保证金</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2、资格审查情况不得私自外泄，有关信息由厦门市公物投资管理有限公司统一对外发布。</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3、资格审查合格的投标人不足三家的，不进行评标。同时，本次采购活动结束，厦门市公物投资管理有限公司将依法组织后续采购活动（包括但不限于：重新招标、采用其他方式采购等）。</w:t>
      </w:r>
    </w:p>
    <w:p>
      <w:pPr>
        <w:pStyle w:val="4"/>
        <w:spacing w:before="312" w:beforeLines="100" w:after="312" w:afterLines="100" w:line="240" w:lineRule="auto"/>
        <w:jc w:val="center"/>
        <w:rPr>
          <w:rFonts w:ascii="黑体" w:hAnsi="黑体" w:eastAsia="黑体" w:cs="Times New Roman"/>
          <w:kern w:val="0"/>
          <w:sz w:val="30"/>
        </w:rPr>
      </w:pPr>
      <w:bookmarkStart w:id="17" w:name="_Toc139103796"/>
      <w:r>
        <w:rPr>
          <w:rFonts w:ascii="黑体" w:hAnsi="黑体" w:eastAsia="黑体" w:cs="Times New Roman"/>
          <w:kern w:val="0"/>
          <w:sz w:val="30"/>
        </w:rPr>
        <w:t>二、评标</w:t>
      </w:r>
      <w:bookmarkEnd w:id="17"/>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4、资格审查结束后，由厦门市公物投资管理有限公司负责评标委员会的组建及评标工作的组织。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由采购人代表和评审专家两部分共5人组成，其中由福建省政府采购评审专家库产生的评审专家4人，由采购人派出的采购人代表1人。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①评标情况不得私自外泄，有关信息由厦门市公物投资管理有限公司统一对外发布。</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②对厦门市公物投资管理有限公司或投标人提供的要求保密的资料，不得摘记翻印和外传。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pPr>
              <w:spacing w:line="360" w:lineRule="auto"/>
              <w:rPr>
                <w:rFonts w:asciiTheme="minorEastAsia" w:hAnsiTheme="minorEastAsia"/>
                <w:sz w:val="24"/>
                <w:szCs w:val="24"/>
              </w:rPr>
            </w:pP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投标人技术部分的实际得分少于招标文件设定的技术部分总分50%的，其投标无效。</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①开标一览表内容与电子投标文件中相应内容不一致的，以开标一览表为准；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③单价金额小数点或百分比有明显错位的，以开标一览表的总价为准，并修改单价；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※若废标，则本次采购活动结束，厦门市公物投资管理有限公司将依法组织后续采购活动（包括但不限于：重新招标、采用其他方式采购等）。</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F1指价格项评审因素得分＝（评标基准价/投标报价）×100投标报价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价格扣除的规则如下：</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1661" w:type="dxa"/>
            <w:vAlign w:val="center"/>
          </w:tcPr>
          <w:p>
            <w:pPr>
              <w:spacing w:line="360" w:lineRule="auto"/>
              <w:jc w:val="center"/>
              <w:rPr>
                <w:rFonts w:asciiTheme="minorEastAsia" w:hAnsiTheme="minorEastAsia"/>
                <w:sz w:val="24"/>
                <w:szCs w:val="24"/>
              </w:rPr>
            </w:pPr>
            <w:r>
              <w:rPr>
                <w:rFonts w:asciiTheme="minorEastAsia" w:hAnsiTheme="minorEastAsia"/>
                <w:b/>
                <w:sz w:val="24"/>
                <w:szCs w:val="24"/>
              </w:rPr>
              <w:t>适用对象</w:t>
            </w:r>
          </w:p>
        </w:tc>
        <w:tc>
          <w:tcPr>
            <w:tcW w:w="942" w:type="dxa"/>
            <w:vAlign w:val="center"/>
          </w:tcPr>
          <w:p>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4153" w:type="dxa"/>
            <w:vAlign w:val="center"/>
          </w:tcPr>
          <w:p>
            <w:pPr>
              <w:spacing w:line="360" w:lineRule="auto"/>
              <w:jc w:val="center"/>
              <w:rPr>
                <w:rFonts w:asciiTheme="minorEastAsia" w:hAnsiTheme="minorEastAsia"/>
                <w:sz w:val="24"/>
                <w:szCs w:val="24"/>
              </w:rPr>
            </w:pPr>
            <w:r>
              <w:rPr>
                <w:rFonts w:asciiTheme="minorEastAsia" w:hAnsiTheme="minorEastAsia"/>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小型、微型企业，监狱企业，残疾人福利性单位</w:t>
            </w:r>
          </w:p>
        </w:tc>
        <w:tc>
          <w:tcPr>
            <w:tcW w:w="166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投标人或者联合体均为小型、微型企业</w:t>
            </w:r>
          </w:p>
        </w:tc>
        <w:tc>
          <w:tcPr>
            <w:tcW w:w="94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20%</w:t>
            </w:r>
          </w:p>
        </w:tc>
        <w:tc>
          <w:tcPr>
            <w:tcW w:w="4153"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价格扣除</w:t>
            </w:r>
            <w:r>
              <w:rPr>
                <w:rFonts w:hint="eastAsia" w:asciiTheme="minorEastAsia" w:hAnsiTheme="minorEastAsia"/>
                <w:sz w:val="24"/>
                <w:szCs w:val="24"/>
              </w:rPr>
              <w:t>办法详见补充条款。</w:t>
            </w: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110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6743"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110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投标人所投DSA满足以下组成要求的得</w:t>
            </w:r>
            <w:r>
              <w:rPr>
                <w:rFonts w:asciiTheme="minorEastAsia" w:hAnsiTheme="minorEastAsia"/>
                <w:sz w:val="24"/>
                <w:szCs w:val="24"/>
              </w:rPr>
              <w:t>2</w:t>
            </w:r>
            <w:r>
              <w:rPr>
                <w:rFonts w:hint="eastAsia" w:asciiTheme="minorEastAsia" w:hAnsiTheme="minorEastAsia"/>
                <w:sz w:val="24"/>
                <w:szCs w:val="24"/>
              </w:rPr>
              <w:t>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多轴悬吊式C臂机架，导管床，高压发生器，球管，非晶硅数字化探测器，能够完全满足数字化平板采集特点的数字图像处理系统，存储系统，控制操作系统，防护设备，连接电缆以及附属设备。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3.9</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  机架系统”各项参数响应情况进行评分：技术条款（除★号条款外，共13条）完全符合招标文件要求的得3.9分，每条不满足扣0.3分，扣完为止。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1-3</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2.7</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根据投标人对招标文件第五章DSA技术参数要求中“序号2  导管床”各项参数响应情况进行评分：技术条款（除▲号条款外，共9条）完全符合招标文件要求的得2.7分，每条不满足扣0.3分，扣完为止。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0.8</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根据投标人对招标文件第五章DSA技术参数要求中“序号3  液晶触摸控制屏”各项参数响应情况进行评分：技术条款（共4条）完全符合招标文件要求的得0.8分，每条不满足扣0.2分，扣完为止。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2.4</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根据投标人对招标文件第五章DSA技术参数要求中“序号4  X线高压发生器装置”各项参数响应情况进行评分：技术条款（除▲号条款外，共8条）完全符合招标文件要求的得2.4分，每条不满足扣0.3分，扣完为止。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1-6</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5.1</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根据投标人对招标文件第五章DSA技术参数要求中“序号5  X线球管”各项参数响应情况进行评分：技术条款（除★、▲号条款外，共17条）完全符合招标文件要求的得5.1分，每条不满足扣0.3分，扣完为止。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1-7</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根据投标人对招标文件第五章DSA技术参数要求中“序号6  数字化平板探测器”各项参数响应情况进行评分：技术条款（除▲号条款外，共14条）完全符合招标文件要求的得4.2分，每条不满足扣0.3分，扣完为止。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1-8</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2.7</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根据投标人对招标文件第五章DSA技术参数要求中“序号7  图像采集及处理系统”各项参数响应情况进行评分：技术条款（共9条）完全符合招标文件要求的得2.7分，每条不满足扣0.3分，扣完为止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1-9</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根据投标人对招标文件第五章DSA技术参数要求中“序号8  智能二维路径导航功能”各项参数响应情况进行评分：技术条款（共6条）完全符合招标文件要求的得1.2分，每条不满足扣0.2分，扣完为止。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1-10</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根据投标人对招标文件第五章DSA技术参数要求中“序号9  图像采集及处理及优化技术软件包”各项参数响应情况进行评分：技术条款（共6条）完全符合招标文件要求的得1.2分，每条不满足扣0.2分，扣完为止。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1-11</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根据投标人对招标文件第五章DSA技术参数要求中“序号10  图像显示系统”各项参数响应情况进行评分：技术条款（共7条）完全符合招标文件要求的得1.4分，每条不满足扣0.2分，扣完为止。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1-12</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根据投标人对招标文件第五章DSA技术参数要求中“序号11  图像存储及图像分析系统”各项参数响应情况进行评分：技术条款（共6条）完全符合招标文件要求的得1.2分，每条不满足扣0.2分，扣完为止。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1-13</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根据投标人对招标文件第五章DSA技术参数要求中“序号12  实时旋转DSA”各项参数响应情况进行评分：技术条款（共6条）完全符合招标文件要求的得1.2分，每条不满足扣0.2分，扣完为止。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1-14</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根据投标人对招标文件第五章DSA技术参数要求中“序号13  高级三维图像后处理工作站”各项参数响应情况进行评分：技术条款（共11条）完全符合招标文件要求的得2.2分，每条不满足扣0.2分，扣完为止。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1-15</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0.4</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根据投标人对招标文件第五章DSA技术参数要求中“序号14  三维血管路图导航功能”各项参数响应情况进行评分：技术条款（共2条）完全符合招标文件要求的得0.4分，每条不满足扣0.2分，扣完为止。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1-16</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1.6</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根据投标人对招标文件第五章DSA技术参数要求中“序号15  血管机类CT成像功能”各项参数响应情况进行评分：技术条款（共8条）完全符合招标文件要求的得1.6分，每条不满足扣0.2分，扣完为止。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1-17</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根据投标人对招标文件第五章DSA技术参数要求中“序号16  三维/三维融合功能”各项参数响应情况进行评分：技术条款（共5条）完全符合招标文件要求的得1分，每条不满足扣0.2分，扣完为止。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1-18</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0.4</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根据投标人对招标文件第五章DSA技术参数要求中“序号17  二维/三维融合功能”各项参数响应情况进行评分：技术条款（共2条）完全符合招标文件要求的得0.4分，每条不满足扣0.2分，扣完为止。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1-19</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根据投标人对招标文件第五章DSA技术参数要求中“序号18  射线剂量防护技术”各项参数响应情况进行评分：技术条款（除▲号条款外，共10条）完全符合招标文件要求的得2分，每条不满足扣0.2分，扣完为止。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1-20</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根据投标人对招标文件第五章DSA技术参数要求中“序号19  其他”各项参数响应情况进行评分：技术条款（共7条）完全符合招标文件要求的得1.4分，每条不满足扣0.2分，扣完为止。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1-21</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根据投标人对招标文件第五章DSA技术参数要求中“序号20  5G远程数字化系统”各项参数响应情况进行评分：技术条款（共5条）完全符合招标文件要求的得1分，每条不满足扣0.2分，扣完为止。</w:t>
            </w:r>
          </w:p>
          <w:p>
            <w:pPr>
              <w:spacing w:line="360" w:lineRule="auto"/>
              <w:jc w:val="left"/>
              <w:rPr>
                <w:rFonts w:asciiTheme="minorEastAsia" w:hAnsiTheme="minorEastAsia"/>
                <w:sz w:val="24"/>
                <w:szCs w:val="24"/>
              </w:rPr>
            </w:pPr>
            <w:r>
              <w:rPr>
                <w:rFonts w:hint="eastAsia" w:asciiTheme="minorEastAsia" w:hAnsiTheme="minorEastAsia"/>
                <w:sz w:val="24"/>
                <w:szCs w:val="24"/>
              </w:rPr>
              <w:t>【注：投标人须按照所有技术要求如实地填写逐条响应，因编排错乱或响应不完整而导致的不利评审由投标人自行承担。】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1-22</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投标人所投设备满足以下要求的得3分，否则不得分：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导管床：床面的垂直升降范围≥32cm （须提供产品彩页或技术白皮书或使用说明书或检验报告进行佐证）。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1-23</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投标人所投设备满足以下要求的得3分，否则不得分：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X线高压发生器装置：最短曝光时间≤O.5ms（须提供产品彩页或技术白皮书或使用说明书或检验报告进行佐证）。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1-24</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投标人所投设备满足以下要求的得3分，否则不得分：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X线球管：球管焦点≥3个（须提供产品彩页或技术白皮书或使用说明书或检验报告进行佐证）。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1-25</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投标人所投设备满足以下要求的得3分，否则不得分：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数字化平板探测器：平板像素尺寸≤154μm（须提供产品彩页或技术白皮书或使用说明书或检验报告进行佐证）。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1-26</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投标人所投设备满足以下要求的得3分，否则不得分：</w:t>
            </w:r>
          </w:p>
          <w:p>
            <w:pPr>
              <w:spacing w:line="360" w:lineRule="auto"/>
              <w:jc w:val="left"/>
              <w:rPr>
                <w:rFonts w:asciiTheme="minorEastAsia" w:hAnsiTheme="minorEastAsia"/>
                <w:sz w:val="24"/>
                <w:szCs w:val="24"/>
              </w:rPr>
            </w:pPr>
            <w:r>
              <w:rPr>
                <w:rFonts w:hint="eastAsia" w:asciiTheme="minorEastAsia" w:hAnsiTheme="minorEastAsia"/>
                <w:sz w:val="24"/>
                <w:szCs w:val="24"/>
              </w:rPr>
              <w:t>射线剂量防护技术：低剂量技术 提供IGS Dosesense平台，或Clarity平台，或CLEAR+CARE平台。（须提供产品彩页或技术白皮书或使用说明书或检验报告进行佐证）。</w:t>
            </w: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110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6743"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2-1</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投标人或投标产品制造商通过质量管理体系认证、环境管理体系认证、职业健康安全管理体系认证的，每提供一个有效认证证书扫描件得1分，满分3分。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2-2</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投标人承诺投标产品可提供原厂售后服务的得3分。投标人需提供相关承诺及原厂售后的报修方式，否则不得分。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2-3</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根据投标人所承诺的交付时间进行评价：在满足招标文件（60天）的基础上，每提前2个日历日加1分，满分3分；投标人需提供书面承诺函（格式自拟）并加盖投标人公章，未提供书面承诺函的不得分。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2-4</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投标人可提供厦门本地化服务的得3分，否则不得分。投标人可提供合作单位协议或者自身机构的营业执照证明，也可以提供在本地设立的项目部、办公室、办事处等机构证明，或者承诺中标后提供本地化服务。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2-5</w:t>
            </w:r>
          </w:p>
        </w:tc>
        <w:tc>
          <w:tcPr>
            <w:tcW w:w="1105"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6743"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根据2020年1月1日（以合同签订时间为准）以来的类似业绩进行评价：每个业绩得1分，满分3分。</w:t>
            </w:r>
          </w:p>
          <w:p>
            <w:pPr>
              <w:spacing w:line="360" w:lineRule="auto"/>
              <w:jc w:val="left"/>
              <w:rPr>
                <w:rFonts w:asciiTheme="minorEastAsia" w:hAnsiTheme="minorEastAsia"/>
                <w:sz w:val="24"/>
                <w:szCs w:val="24"/>
              </w:rPr>
            </w:pPr>
            <w:r>
              <w:rPr>
                <w:rFonts w:hint="eastAsia" w:asciiTheme="minorEastAsia" w:hAnsiTheme="minorEastAsia"/>
                <w:sz w:val="24"/>
                <w:szCs w:val="24"/>
              </w:rPr>
              <w:t>注：（1）类似业绩是指：投标人销售投标产品的业绩。</w:t>
            </w:r>
          </w:p>
          <w:p>
            <w:pPr>
              <w:spacing w:line="360" w:lineRule="auto"/>
              <w:jc w:val="left"/>
              <w:rPr>
                <w:rFonts w:asciiTheme="minorEastAsia" w:hAnsiTheme="minorEastAsia"/>
                <w:sz w:val="24"/>
                <w:szCs w:val="24"/>
              </w:rPr>
            </w:pPr>
            <w:r>
              <w:rPr>
                <w:rFonts w:hint="eastAsia" w:asciiTheme="minorEastAsia" w:hAnsiTheme="minorEastAsia"/>
                <w:sz w:val="24"/>
                <w:szCs w:val="24"/>
              </w:rPr>
              <w:t>（2）需提供业绩的以下四项证明材料，否则不计分：</w:t>
            </w:r>
          </w:p>
          <w:p>
            <w:pPr>
              <w:spacing w:line="360" w:lineRule="auto"/>
              <w:jc w:val="left"/>
              <w:rPr>
                <w:rFonts w:asciiTheme="minorEastAsia" w:hAnsiTheme="minorEastAsia"/>
                <w:sz w:val="24"/>
                <w:szCs w:val="24"/>
              </w:rPr>
            </w:pPr>
            <w:r>
              <w:rPr>
                <w:rFonts w:hint="eastAsia" w:asciiTheme="minorEastAsia" w:hAnsiTheme="minorEastAsia"/>
                <w:sz w:val="24"/>
                <w:szCs w:val="24"/>
              </w:rPr>
              <w:t>①中标（成交）公告（提供相关网站中标（成交）公告的下载网页并注明网址）；</w:t>
            </w:r>
          </w:p>
          <w:p>
            <w:pPr>
              <w:spacing w:line="360" w:lineRule="auto"/>
              <w:jc w:val="left"/>
              <w:rPr>
                <w:rFonts w:asciiTheme="minorEastAsia" w:hAnsiTheme="minorEastAsia"/>
                <w:sz w:val="24"/>
                <w:szCs w:val="24"/>
              </w:rPr>
            </w:pPr>
            <w:r>
              <w:rPr>
                <w:rFonts w:hint="eastAsia" w:asciiTheme="minorEastAsia" w:hAnsiTheme="minorEastAsia"/>
                <w:sz w:val="24"/>
                <w:szCs w:val="24"/>
              </w:rPr>
              <w:t>②中标（成交）通知书；</w:t>
            </w:r>
          </w:p>
          <w:p>
            <w:pPr>
              <w:spacing w:line="360" w:lineRule="auto"/>
              <w:jc w:val="left"/>
              <w:rPr>
                <w:rFonts w:asciiTheme="minorEastAsia" w:hAnsiTheme="minorEastAsia"/>
                <w:sz w:val="24"/>
                <w:szCs w:val="24"/>
              </w:rPr>
            </w:pPr>
            <w:r>
              <w:rPr>
                <w:rFonts w:hint="eastAsia" w:asciiTheme="minorEastAsia" w:hAnsiTheme="minorEastAsia"/>
                <w:sz w:val="24"/>
                <w:szCs w:val="24"/>
              </w:rPr>
              <w:t>③采购合同文本；</w:t>
            </w:r>
          </w:p>
          <w:p>
            <w:pPr>
              <w:spacing w:line="360" w:lineRule="auto"/>
              <w:jc w:val="left"/>
              <w:rPr>
                <w:rFonts w:asciiTheme="minorEastAsia" w:hAnsiTheme="minorEastAsia"/>
                <w:sz w:val="24"/>
                <w:szCs w:val="24"/>
              </w:rPr>
            </w:pPr>
            <w:r>
              <w:rPr>
                <w:rFonts w:hint="eastAsia" w:asciiTheme="minorEastAsia" w:hAnsiTheme="minorEastAsia"/>
                <w:sz w:val="24"/>
                <w:szCs w:val="24"/>
              </w:rPr>
              <w:t>④能够证明该业绩项目已经采购人验收合格的相关证明材料。</w:t>
            </w:r>
          </w:p>
        </w:tc>
      </w:tr>
    </w:tbl>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加分项（F4×A4）</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1134"/>
        <w:gridCol w:w="5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1" w:type="dxa"/>
            <w:vAlign w:val="center"/>
          </w:tcPr>
          <w:p>
            <w:pPr>
              <w:pStyle w:val="55"/>
              <w:spacing w:line="360" w:lineRule="auto"/>
              <w:jc w:val="center"/>
              <w:rPr>
                <w:rFonts w:hint="default" w:asciiTheme="minorEastAsia" w:hAnsiTheme="minorEastAsia"/>
                <w:sz w:val="24"/>
                <w:szCs w:val="24"/>
              </w:rPr>
            </w:pPr>
            <w:r>
              <w:rPr>
                <w:rFonts w:asciiTheme="minorEastAsia" w:hAnsiTheme="minorEastAsia"/>
                <w:b/>
                <w:sz w:val="24"/>
                <w:szCs w:val="24"/>
              </w:rPr>
              <w:t>项目</w:t>
            </w:r>
          </w:p>
        </w:tc>
        <w:tc>
          <w:tcPr>
            <w:tcW w:w="1134" w:type="dxa"/>
            <w:vAlign w:val="center"/>
          </w:tcPr>
          <w:p>
            <w:pPr>
              <w:pStyle w:val="55"/>
              <w:spacing w:line="360" w:lineRule="auto"/>
              <w:jc w:val="center"/>
              <w:rPr>
                <w:rFonts w:hint="default" w:asciiTheme="minorEastAsia" w:hAnsiTheme="minorEastAsia"/>
                <w:sz w:val="24"/>
                <w:szCs w:val="24"/>
              </w:rPr>
            </w:pPr>
            <w:r>
              <w:rPr>
                <w:rFonts w:asciiTheme="minorEastAsia" w:hAnsiTheme="minorEastAsia"/>
                <w:b/>
                <w:sz w:val="24"/>
                <w:szCs w:val="24"/>
              </w:rPr>
              <w:t>分值</w:t>
            </w:r>
          </w:p>
        </w:tc>
        <w:tc>
          <w:tcPr>
            <w:tcW w:w="5711" w:type="dxa"/>
            <w:vAlign w:val="center"/>
          </w:tcPr>
          <w:p>
            <w:pPr>
              <w:pStyle w:val="55"/>
              <w:spacing w:line="360" w:lineRule="auto"/>
              <w:jc w:val="center"/>
              <w:rPr>
                <w:rFonts w:hint="default" w:asciiTheme="minorEastAsia" w:hAnsiTheme="minorEastAsia"/>
                <w:sz w:val="24"/>
                <w:szCs w:val="24"/>
              </w:rPr>
            </w:pPr>
            <w:r>
              <w:rPr>
                <w:rFonts w:asciiTheme="minorEastAsia" w:hAnsiTheme="minorEastAsia"/>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1" w:type="dxa"/>
            <w:vAlign w:val="center"/>
          </w:tcPr>
          <w:p>
            <w:pPr>
              <w:pStyle w:val="55"/>
              <w:spacing w:line="360" w:lineRule="auto"/>
              <w:jc w:val="center"/>
              <w:rPr>
                <w:rFonts w:hint="default" w:asciiTheme="minorEastAsia" w:hAnsiTheme="minorEastAsia"/>
                <w:sz w:val="24"/>
                <w:szCs w:val="24"/>
              </w:rPr>
            </w:pPr>
            <w:r>
              <w:rPr>
                <w:rFonts w:asciiTheme="minorEastAsia" w:hAnsiTheme="minorEastAsia"/>
                <w:sz w:val="24"/>
                <w:szCs w:val="24"/>
              </w:rPr>
              <w:t>节能、环境标志产品</w:t>
            </w:r>
          </w:p>
        </w:tc>
        <w:tc>
          <w:tcPr>
            <w:tcW w:w="1134" w:type="dxa"/>
            <w:vAlign w:val="center"/>
          </w:tcPr>
          <w:p>
            <w:pPr>
              <w:pStyle w:val="55"/>
              <w:spacing w:line="360" w:lineRule="auto"/>
              <w:jc w:val="center"/>
              <w:rPr>
                <w:rFonts w:hint="default" w:asciiTheme="minorEastAsia" w:hAnsiTheme="minorEastAsia"/>
                <w:sz w:val="24"/>
                <w:szCs w:val="24"/>
              </w:rPr>
            </w:pPr>
            <w:r>
              <w:rPr>
                <w:rFonts w:asciiTheme="minorEastAsia" w:hAnsiTheme="minorEastAsia"/>
                <w:sz w:val="24"/>
                <w:szCs w:val="24"/>
              </w:rPr>
              <w:t>6.8</w:t>
            </w:r>
          </w:p>
        </w:tc>
        <w:tc>
          <w:tcPr>
            <w:tcW w:w="5711" w:type="dxa"/>
            <w:vAlign w:val="center"/>
          </w:tcPr>
          <w:p>
            <w:pPr>
              <w:pStyle w:val="55"/>
              <w:spacing w:line="360" w:lineRule="auto"/>
              <w:rPr>
                <w:rFonts w:hint="default" w:asciiTheme="minorEastAsia" w:hAnsiTheme="minorEastAsia"/>
                <w:sz w:val="24"/>
                <w:szCs w:val="24"/>
              </w:rPr>
            </w:pPr>
            <w:r>
              <w:rPr>
                <w:rFonts w:asciiTheme="minorEastAsia" w:hAnsiTheme="minorEastAsia"/>
                <w:sz w:val="24"/>
                <w:szCs w:val="24"/>
              </w:rPr>
              <w:t>1、投标人所投节能产品属于《关于印发节能产品政府采购品目清单的通知》（财库〔2019〕19号）内的产品、所投环境标志产品属于《关于印发环境标志产品政府采购品目清单的通知》（财库〔2019〕18号）内的产品，方可享受加分。</w:t>
            </w:r>
          </w:p>
          <w:p>
            <w:pPr>
              <w:pStyle w:val="55"/>
              <w:spacing w:line="360" w:lineRule="auto"/>
              <w:rPr>
                <w:rFonts w:hint="default" w:asciiTheme="minorEastAsia" w:hAnsiTheme="minorEastAsia"/>
                <w:sz w:val="24"/>
                <w:szCs w:val="24"/>
              </w:rPr>
            </w:pPr>
            <w:r>
              <w:rPr>
                <w:rFonts w:asciiTheme="minorEastAsia" w:hAnsiTheme="minorEastAsia"/>
                <w:sz w:val="24"/>
                <w:szCs w:val="24"/>
              </w:rPr>
              <w:t>2、（1）若同一采购包内节能、环境标志产品报价总金额低于该采购包报价总金额20%（含20%），将分别给予节能、环境标志产品价格项（F1，按照满分计）和技术项（F2，按照满分计）4%的加分；</w:t>
            </w:r>
          </w:p>
          <w:p>
            <w:pPr>
              <w:pStyle w:val="55"/>
              <w:spacing w:line="360" w:lineRule="auto"/>
              <w:rPr>
                <w:rFonts w:hint="default" w:asciiTheme="minorEastAsia" w:hAnsiTheme="minorEastAsia"/>
                <w:sz w:val="24"/>
                <w:szCs w:val="24"/>
              </w:rPr>
            </w:pPr>
            <w:r>
              <w:rPr>
                <w:rFonts w:asciiTheme="minorEastAsia" w:hAnsiTheme="minorEastAsia"/>
                <w:sz w:val="24"/>
                <w:szCs w:val="24"/>
              </w:rPr>
              <w:t>（2）若同一采购包内节能、环境标志产品报价总金额占该采购包报价总金额20%-50%（含50%），将分别给予节能、环境标志产品价格项（F1，按照满分计）和技术项（F2，按照满分计）6%的加分；</w:t>
            </w:r>
          </w:p>
          <w:p>
            <w:pPr>
              <w:pStyle w:val="55"/>
              <w:spacing w:line="360" w:lineRule="auto"/>
              <w:rPr>
                <w:rFonts w:hint="default" w:asciiTheme="minorEastAsia" w:hAnsiTheme="minorEastAsia"/>
                <w:sz w:val="24"/>
                <w:szCs w:val="24"/>
              </w:rPr>
            </w:pPr>
            <w:r>
              <w:rPr>
                <w:rFonts w:asciiTheme="minorEastAsia" w:hAnsiTheme="minorEastAsia"/>
                <w:sz w:val="24"/>
                <w:szCs w:val="24"/>
              </w:rPr>
              <w:t>（3）若同一采购包内节能、环境标志产品报价总金额超过该采购包报价总金额50%，将分别给予节能、环境标志产品价格项（F1，按照满分计）和技术项（F2，按照满分计）8%的加分。</w:t>
            </w:r>
          </w:p>
          <w:p>
            <w:pPr>
              <w:pStyle w:val="55"/>
              <w:spacing w:line="360" w:lineRule="auto"/>
              <w:jc w:val="both"/>
              <w:rPr>
                <w:rFonts w:hint="default" w:asciiTheme="minorEastAsia" w:hAnsiTheme="minorEastAsia"/>
                <w:sz w:val="24"/>
                <w:szCs w:val="24"/>
              </w:rPr>
            </w:pPr>
            <w:r>
              <w:rPr>
                <w:rFonts w:asciiTheme="minorEastAsia" w:hAnsiTheme="minorEastAsia"/>
                <w:sz w:val="24"/>
                <w:szCs w:val="24"/>
              </w:rPr>
              <w:t>3、若节能、环境标志产品仅是构成投标产品的部件、组件或零件，则该投标产品不享受鼓励优惠政策。同一品目中各认证证书不重复计算加分。强制类节能产品不享受加分。</w:t>
            </w: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（4）中标候选人排列规则顺序如下：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240" w:beforeLines="100" w:beforeAutospacing="0" w:after="240" w:afterLines="100" w:afterAutospacing="0"/>
        <w:jc w:val="center"/>
        <w:rPr>
          <w:rFonts w:ascii="黑体" w:hAnsi="黑体" w:eastAsia="黑体" w:cs="Times New Roman"/>
          <w:kern w:val="0"/>
          <w:sz w:val="32"/>
          <w:szCs w:val="44"/>
        </w:rPr>
      </w:pPr>
      <w:bookmarkStart w:id="18" w:name="_Toc139103797"/>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18"/>
    </w:p>
    <w:p>
      <w:pPr>
        <w:pStyle w:val="4"/>
        <w:spacing w:before="240" w:beforeLines="100" w:after="240" w:afterLines="100" w:line="240" w:lineRule="auto"/>
        <w:jc w:val="left"/>
        <w:rPr>
          <w:rFonts w:ascii="黑体" w:hAnsi="黑体" w:eastAsia="黑体" w:cs="Times New Roman"/>
          <w:kern w:val="0"/>
          <w:sz w:val="30"/>
        </w:rPr>
      </w:pPr>
      <w:bookmarkStart w:id="19" w:name="_Toc139103798"/>
      <w:r>
        <w:rPr>
          <w:rFonts w:ascii="黑体" w:hAnsi="黑体" w:eastAsia="黑体" w:cs="Times New Roman"/>
          <w:kern w:val="0"/>
          <w:sz w:val="30"/>
        </w:rPr>
        <w:t>一、项目概况（采购标的）</w:t>
      </w:r>
      <w:bookmarkEnd w:id="19"/>
    </w:p>
    <w:p>
      <w:pPr>
        <w:pStyle w:val="47"/>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项目概况</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本项目为复旦大学附属肿瘤医院厦门医院的DSA（血管造影X射线系统）项目，采购标的如下：</w:t>
      </w:r>
    </w:p>
    <w:p>
      <w:pPr>
        <w:pStyle w:val="47"/>
        <w:numPr>
          <w:ilvl w:val="1"/>
          <w:numId w:val="1"/>
        </w:numPr>
        <w:tabs>
          <w:tab w:val="left" w:pos="993"/>
        </w:tabs>
        <w:spacing w:line="360" w:lineRule="auto"/>
        <w:ind w:left="0" w:firstLine="482"/>
        <w:rPr>
          <w:rFonts w:ascii="宋体" w:hAnsi="宋体" w:eastAsia="宋体"/>
          <w:b/>
          <w:sz w:val="24"/>
          <w:szCs w:val="28"/>
        </w:rPr>
      </w:pPr>
      <w:r>
        <w:rPr>
          <w:rFonts w:hint="eastAsia" w:ascii="宋体" w:hAnsi="宋体" w:eastAsia="宋体"/>
          <w:b/>
          <w:sz w:val="24"/>
          <w:szCs w:val="28"/>
        </w:rPr>
        <w:t>品目号1-1</w:t>
      </w:r>
    </w:p>
    <w:p>
      <w:pPr>
        <w:pStyle w:val="47"/>
        <w:numPr>
          <w:ilvl w:val="2"/>
          <w:numId w:val="1"/>
        </w:numPr>
        <w:tabs>
          <w:tab w:val="left" w:pos="993"/>
        </w:tabs>
        <w:spacing w:line="360" w:lineRule="auto"/>
        <w:ind w:left="0" w:firstLine="851" w:firstLineChars="0"/>
        <w:rPr>
          <w:rFonts w:ascii="宋体" w:hAnsi="宋体" w:eastAsia="宋体"/>
          <w:sz w:val="24"/>
          <w:szCs w:val="28"/>
        </w:rPr>
      </w:pPr>
      <w:r>
        <w:rPr>
          <w:rFonts w:hint="eastAsia" w:ascii="宋体" w:hAnsi="宋体" w:eastAsia="宋体"/>
          <w:sz w:val="24"/>
          <w:szCs w:val="28"/>
        </w:rPr>
        <w:t>品名：DSA。</w:t>
      </w:r>
    </w:p>
    <w:p>
      <w:pPr>
        <w:pStyle w:val="47"/>
        <w:numPr>
          <w:ilvl w:val="2"/>
          <w:numId w:val="1"/>
        </w:numPr>
        <w:tabs>
          <w:tab w:val="left" w:pos="993"/>
        </w:tabs>
        <w:spacing w:line="360" w:lineRule="auto"/>
        <w:ind w:left="0" w:firstLine="851" w:firstLineChars="0"/>
        <w:rPr>
          <w:rFonts w:ascii="宋体" w:hAnsi="宋体" w:eastAsia="宋体"/>
          <w:sz w:val="24"/>
          <w:szCs w:val="28"/>
        </w:rPr>
      </w:pPr>
      <w:r>
        <w:rPr>
          <w:rFonts w:hint="eastAsia" w:ascii="宋体" w:hAnsi="宋体" w:eastAsia="宋体"/>
          <w:sz w:val="24"/>
          <w:szCs w:val="28"/>
        </w:rPr>
        <w:t>数量：1套。</w:t>
      </w:r>
    </w:p>
    <w:p>
      <w:pPr>
        <w:pStyle w:val="47"/>
        <w:numPr>
          <w:ilvl w:val="2"/>
          <w:numId w:val="1"/>
        </w:numPr>
        <w:tabs>
          <w:tab w:val="left" w:pos="993"/>
        </w:tabs>
        <w:spacing w:line="360" w:lineRule="auto"/>
        <w:ind w:left="0" w:firstLine="851" w:firstLineChars="0"/>
        <w:rPr>
          <w:rFonts w:ascii="宋体" w:hAnsi="宋体" w:eastAsia="宋体"/>
          <w:sz w:val="24"/>
          <w:szCs w:val="28"/>
        </w:rPr>
      </w:pPr>
      <w:r>
        <w:rPr>
          <w:rFonts w:hint="eastAsia" w:ascii="宋体" w:hAnsi="宋体" w:eastAsia="宋体"/>
          <w:sz w:val="24"/>
          <w:szCs w:val="28"/>
        </w:rPr>
        <w:t>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p>
      <w:pPr>
        <w:pStyle w:val="47"/>
        <w:numPr>
          <w:ilvl w:val="2"/>
          <w:numId w:val="1"/>
        </w:numPr>
        <w:tabs>
          <w:tab w:val="left" w:pos="993"/>
        </w:tabs>
        <w:spacing w:line="360" w:lineRule="auto"/>
        <w:ind w:left="0" w:firstLine="851" w:firstLineChars="0"/>
        <w:rPr>
          <w:rFonts w:ascii="宋体" w:hAnsi="宋体" w:eastAsia="宋体"/>
          <w:sz w:val="24"/>
          <w:szCs w:val="28"/>
        </w:rPr>
      </w:pPr>
      <w:r>
        <w:rPr>
          <w:rFonts w:hint="eastAsia" w:ascii="宋体" w:hAnsi="宋体" w:eastAsia="宋体"/>
          <w:sz w:val="24"/>
          <w:szCs w:val="28"/>
        </w:rPr>
        <w:t>配置清单：</w:t>
      </w:r>
    </w:p>
    <w:tbl>
      <w:tblPr>
        <w:tblStyle w:val="19"/>
        <w:tblW w:w="0" w:type="auto"/>
        <w:tblInd w:w="1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77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序号</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名称</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悬吊式机架系统</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2</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导管床</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3</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X线高压发生器</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4</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X线球管</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5</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数字化平板探测器</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6</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图像采集及处理系统</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7</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病人监护仪</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8</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高压注射器</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pStyle w:val="47"/>
              <w:numPr>
                <w:ilvl w:val="255"/>
                <w:numId w:val="0"/>
              </w:numPr>
              <w:tabs>
                <w:tab w:val="left" w:pos="993"/>
              </w:tabs>
              <w:spacing w:line="420" w:lineRule="exact"/>
              <w:jc w:val="center"/>
              <w:rPr>
                <w:rFonts w:hint="eastAsia" w:ascii="宋体" w:hAnsi="宋体" w:eastAsia="宋体" w:cs="Times New Roman"/>
                <w:sz w:val="24"/>
                <w:szCs w:val="28"/>
                <w:lang w:eastAsia="zh-CN"/>
              </w:rPr>
            </w:pPr>
            <w:r>
              <w:rPr>
                <w:rFonts w:hint="eastAsia" w:ascii="宋体" w:hAnsi="宋体" w:eastAsia="宋体" w:cs="Times New Roman"/>
                <w:sz w:val="24"/>
                <w:szCs w:val="28"/>
                <w:lang w:val="en-US" w:eastAsia="zh-CN"/>
              </w:rPr>
              <w:t>9</w:t>
            </w:r>
          </w:p>
        </w:tc>
        <w:tc>
          <w:tcPr>
            <w:tcW w:w="4778"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hint="eastAsia" w:ascii="宋体" w:hAnsi="宋体" w:eastAsia="宋体" w:cs="Times New Roman"/>
                <w:sz w:val="24"/>
                <w:szCs w:val="28"/>
              </w:rPr>
              <w:t>DSA铅衣</w:t>
            </w:r>
          </w:p>
        </w:tc>
        <w:tc>
          <w:tcPr>
            <w:tcW w:w="1089" w:type="dxa"/>
          </w:tcPr>
          <w:p>
            <w:pPr>
              <w:pStyle w:val="47"/>
              <w:numPr>
                <w:ilvl w:val="255"/>
                <w:numId w:val="0"/>
              </w:numPr>
              <w:tabs>
                <w:tab w:val="left" w:pos="993"/>
              </w:tabs>
              <w:spacing w:line="420" w:lineRule="exact"/>
              <w:jc w:val="center"/>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套</w:t>
            </w:r>
          </w:p>
        </w:tc>
      </w:tr>
    </w:tbl>
    <w:p>
      <w:pPr>
        <w:pStyle w:val="47"/>
        <w:numPr>
          <w:ilvl w:val="255"/>
          <w:numId w:val="0"/>
        </w:numPr>
        <w:tabs>
          <w:tab w:val="left" w:pos="993"/>
        </w:tabs>
        <w:spacing w:line="360" w:lineRule="auto"/>
        <w:ind w:left="851"/>
        <w:rPr>
          <w:rFonts w:ascii="宋体" w:hAnsi="宋体" w:eastAsia="宋体"/>
          <w:sz w:val="24"/>
          <w:szCs w:val="28"/>
        </w:rPr>
      </w:pPr>
    </w:p>
    <w:p>
      <w:pPr>
        <w:pStyle w:val="4"/>
        <w:spacing w:before="240" w:beforeLines="100" w:after="240" w:afterLines="100" w:line="240" w:lineRule="auto"/>
        <w:jc w:val="left"/>
        <w:rPr>
          <w:rFonts w:ascii="黑体" w:hAnsi="黑体" w:eastAsia="黑体" w:cs="Times New Roman"/>
          <w:kern w:val="0"/>
          <w:sz w:val="30"/>
        </w:rPr>
      </w:pPr>
      <w:bookmarkStart w:id="20" w:name="_Toc139103799"/>
      <w:r>
        <w:rPr>
          <w:rFonts w:ascii="黑体" w:hAnsi="黑体" w:eastAsia="黑体" w:cs="Times New Roman"/>
          <w:kern w:val="0"/>
          <w:sz w:val="30"/>
        </w:rPr>
        <w:t>二、技术和服务要求</w:t>
      </w:r>
      <w:bookmarkEnd w:id="20"/>
    </w:p>
    <w:p>
      <w:pP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pPr>
        <w:pStyle w:val="47"/>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技术参数要求</w:t>
      </w:r>
    </w:p>
    <w:tbl>
      <w:tblPr>
        <w:tblStyle w:val="18"/>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8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82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sz w:val="24"/>
              </w:rPr>
            </w:pPr>
            <w:r>
              <w:rPr>
                <w:rFonts w:hint="eastAsia" w:ascii="宋体" w:hAnsi="宋体" w:cs="宋体"/>
                <w:b/>
                <w:bCs/>
                <w:sz w:val="24"/>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一、设备名称</w:t>
            </w:r>
          </w:p>
        </w:tc>
        <w:tc>
          <w:tcPr>
            <w:tcW w:w="8221" w:type="dxa"/>
            <w:tcBorders>
              <w:top w:val="single" w:color="auto" w:sz="4" w:space="0"/>
              <w:left w:val="single" w:color="auto" w:sz="4" w:space="0"/>
              <w:bottom w:val="single" w:color="auto" w:sz="4" w:space="0"/>
              <w:right w:val="single" w:color="auto" w:sz="4" w:space="0"/>
            </w:tcBorders>
          </w:tcPr>
          <w:p>
            <w:pPr>
              <w:spacing w:line="360" w:lineRule="auto"/>
              <w:ind w:left="-107" w:leftChars="-51"/>
              <w:rPr>
                <w:rFonts w:ascii="宋体" w:hAnsi="宋体" w:cs="宋体"/>
                <w:sz w:val="24"/>
              </w:rPr>
            </w:pPr>
            <w:r>
              <w:rPr>
                <w:rFonts w:hint="eastAsia" w:ascii="宋体" w:hAnsi="宋体" w:cs="宋体"/>
                <w:sz w:val="24"/>
              </w:rPr>
              <w:t xml:space="preserve"> 全数字化通用型平板血管造影系统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二、主要组成</w:t>
            </w:r>
          </w:p>
        </w:tc>
        <w:tc>
          <w:tcPr>
            <w:tcW w:w="82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多轴悬吊式C臂机架，导管床，高压发生器，球管，非晶硅数字化探测器，能够完全满足数字化平板采集特点的数字图像处理系统，存储系统，控制操作系统，防护设备，连接电缆以及附属设备。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三、技术规格</w:t>
            </w:r>
          </w:p>
        </w:tc>
        <w:tc>
          <w:tcPr>
            <w:tcW w:w="82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1</w:t>
            </w:r>
          </w:p>
        </w:tc>
        <w:tc>
          <w:tcPr>
            <w:tcW w:w="8221" w:type="dxa"/>
          </w:tcPr>
          <w:p>
            <w:pPr>
              <w:spacing w:line="360" w:lineRule="auto"/>
              <w:jc w:val="left"/>
              <w:rPr>
                <w:rFonts w:ascii="宋体" w:hAnsi="宋体" w:cs="宋体"/>
                <w:b/>
                <w:bCs/>
                <w:sz w:val="24"/>
              </w:rPr>
            </w:pPr>
            <w:r>
              <w:rPr>
                <w:rFonts w:hint="eastAsia" w:ascii="宋体" w:hAnsi="宋体" w:cs="宋体"/>
                <w:b/>
                <w:bCs/>
                <w:sz w:val="24"/>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w:t>
            </w:r>
          </w:p>
        </w:tc>
        <w:tc>
          <w:tcPr>
            <w:tcW w:w="8221" w:type="dxa"/>
          </w:tcPr>
          <w:p>
            <w:pPr>
              <w:spacing w:line="360" w:lineRule="auto"/>
              <w:jc w:val="left"/>
              <w:rPr>
                <w:rFonts w:ascii="宋体" w:hAnsi="宋体" w:cs="宋体"/>
                <w:sz w:val="24"/>
              </w:rPr>
            </w:pPr>
            <w:r>
              <w:rPr>
                <w:rFonts w:hint="eastAsia" w:ascii="宋体" w:hAnsi="宋体" w:cs="宋体"/>
                <w:sz w:val="24"/>
              </w:rPr>
              <w:t>全自动</w:t>
            </w:r>
            <w:r>
              <w:rPr>
                <w:rFonts w:hint="eastAsia" w:ascii="宋体" w:hAnsi="宋体" w:cs="宋体"/>
                <w:kern w:val="0"/>
                <w:sz w:val="24"/>
              </w:rPr>
              <w:t>悬吊式C臂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1.2</w:t>
            </w:r>
          </w:p>
        </w:tc>
        <w:tc>
          <w:tcPr>
            <w:tcW w:w="8221" w:type="dxa"/>
          </w:tcPr>
          <w:p>
            <w:pPr>
              <w:spacing w:line="360" w:lineRule="auto"/>
              <w:jc w:val="left"/>
              <w:rPr>
                <w:rFonts w:ascii="宋体" w:hAnsi="宋体" w:cs="宋体"/>
                <w:sz w:val="24"/>
              </w:rPr>
            </w:pPr>
            <w:r>
              <w:rPr>
                <w:rFonts w:hint="eastAsia" w:ascii="宋体" w:hAnsi="宋体" w:cs="宋体"/>
                <w:snapToGrid w:val="0"/>
                <w:sz w:val="24"/>
              </w:rPr>
              <w:t>机架多位置预设，存储位置不少于58种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1.3</w:t>
            </w:r>
          </w:p>
        </w:tc>
        <w:tc>
          <w:tcPr>
            <w:tcW w:w="8221" w:type="dxa"/>
          </w:tcPr>
          <w:p>
            <w:pPr>
              <w:spacing w:line="360" w:lineRule="auto"/>
              <w:jc w:val="left"/>
              <w:rPr>
                <w:rFonts w:ascii="宋体" w:hAnsi="宋体" w:cs="宋体"/>
                <w:sz w:val="24"/>
              </w:rPr>
            </w:pPr>
            <w:r>
              <w:rPr>
                <w:rFonts w:hint="eastAsia" w:ascii="宋体" w:hAnsi="宋体" w:cs="宋体"/>
                <w:sz w:val="24"/>
              </w:rPr>
              <w:t>具有智能床旁控制系统可以控制机架和导管床的运动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1.4</w:t>
            </w:r>
          </w:p>
        </w:tc>
        <w:tc>
          <w:tcPr>
            <w:tcW w:w="8221" w:type="dxa"/>
          </w:tcPr>
          <w:p>
            <w:pPr>
              <w:spacing w:line="360" w:lineRule="auto"/>
              <w:jc w:val="left"/>
              <w:rPr>
                <w:rFonts w:ascii="宋体" w:hAnsi="宋体" w:cs="宋体"/>
                <w:sz w:val="24"/>
              </w:rPr>
            </w:pPr>
            <w:r>
              <w:rPr>
                <w:rFonts w:hint="eastAsia" w:ascii="宋体" w:hAnsi="宋体" w:cs="宋体"/>
                <w:sz w:val="24"/>
              </w:rPr>
              <w:t>C臂在头位时CRA≥</w:t>
            </w:r>
            <w:r>
              <w:rPr>
                <w:rFonts w:hint="eastAsia" w:ascii="宋体" w:hAnsi="宋体" w:cs="宋体"/>
                <w:bCs/>
                <w:sz w:val="24"/>
              </w:rPr>
              <w:t xml:space="preserve"> 100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1.5</w:t>
            </w:r>
          </w:p>
        </w:tc>
        <w:tc>
          <w:tcPr>
            <w:tcW w:w="8221" w:type="dxa"/>
          </w:tcPr>
          <w:p>
            <w:pPr>
              <w:spacing w:line="360" w:lineRule="auto"/>
              <w:jc w:val="left"/>
              <w:rPr>
                <w:rFonts w:ascii="宋体" w:hAnsi="宋体" w:cs="宋体"/>
                <w:sz w:val="24"/>
              </w:rPr>
            </w:pPr>
            <w:r>
              <w:rPr>
                <w:rFonts w:hint="eastAsia" w:ascii="宋体" w:hAnsi="宋体" w:cs="宋体"/>
                <w:sz w:val="24"/>
              </w:rPr>
              <w:t>C臂在头位时CAU≥</w:t>
            </w:r>
            <w:r>
              <w:rPr>
                <w:rFonts w:hint="eastAsia" w:ascii="宋体" w:hAnsi="宋体" w:cs="宋体"/>
                <w:bCs/>
                <w:sz w:val="24"/>
              </w:rPr>
              <w:t xml:space="preserve"> 100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1.6</w:t>
            </w:r>
          </w:p>
        </w:tc>
        <w:tc>
          <w:tcPr>
            <w:tcW w:w="8221" w:type="dxa"/>
          </w:tcPr>
          <w:p>
            <w:pPr>
              <w:spacing w:line="360" w:lineRule="auto"/>
              <w:jc w:val="left"/>
              <w:rPr>
                <w:rFonts w:ascii="宋体" w:hAnsi="宋体" w:cs="宋体"/>
                <w:sz w:val="24"/>
              </w:rPr>
            </w:pPr>
            <w:r>
              <w:rPr>
                <w:rFonts w:hint="eastAsia" w:ascii="宋体" w:hAnsi="宋体" w:cs="宋体"/>
                <w:sz w:val="24"/>
              </w:rPr>
              <w:t>C臂在头位时RAO ≥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1.7</w:t>
            </w:r>
          </w:p>
        </w:tc>
        <w:tc>
          <w:tcPr>
            <w:tcW w:w="8221" w:type="dxa"/>
          </w:tcPr>
          <w:p>
            <w:pPr>
              <w:spacing w:line="360" w:lineRule="auto"/>
              <w:jc w:val="left"/>
              <w:rPr>
                <w:rFonts w:ascii="宋体" w:hAnsi="宋体" w:cs="宋体"/>
                <w:sz w:val="24"/>
              </w:rPr>
            </w:pPr>
            <w:r>
              <w:rPr>
                <w:rFonts w:hint="eastAsia" w:ascii="宋体" w:hAnsi="宋体" w:cs="宋体"/>
                <w:sz w:val="24"/>
              </w:rPr>
              <w:t>C臂在头位时LAO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1.8</w:t>
            </w:r>
          </w:p>
        </w:tc>
        <w:tc>
          <w:tcPr>
            <w:tcW w:w="8221" w:type="dxa"/>
          </w:tcPr>
          <w:p>
            <w:pPr>
              <w:spacing w:line="360" w:lineRule="auto"/>
              <w:jc w:val="left"/>
              <w:rPr>
                <w:rFonts w:ascii="宋体" w:hAnsi="宋体" w:cs="宋体"/>
                <w:sz w:val="24"/>
              </w:rPr>
            </w:pPr>
            <w:r>
              <w:rPr>
                <w:rFonts w:hint="eastAsia" w:ascii="宋体" w:hAnsi="宋体" w:cs="宋体"/>
                <w:sz w:val="24"/>
              </w:rPr>
              <w:t>C臂旋转速度（非旋转采集）≥25度/秒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1.9</w:t>
            </w:r>
          </w:p>
        </w:tc>
        <w:tc>
          <w:tcPr>
            <w:tcW w:w="8221" w:type="dxa"/>
          </w:tcPr>
          <w:p>
            <w:pPr>
              <w:spacing w:line="360" w:lineRule="auto"/>
              <w:jc w:val="left"/>
              <w:rPr>
                <w:rFonts w:ascii="宋体" w:hAnsi="宋体" w:cs="宋体"/>
                <w:sz w:val="24"/>
              </w:rPr>
            </w:pPr>
            <w:r>
              <w:rPr>
                <w:rFonts w:hint="eastAsia" w:ascii="宋体" w:hAnsi="宋体" w:cs="宋体"/>
                <w:sz w:val="24"/>
              </w:rPr>
              <w:t>C臂旋转采集速度≥60度/秒（正位）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1.10</w:t>
            </w:r>
          </w:p>
        </w:tc>
        <w:tc>
          <w:tcPr>
            <w:tcW w:w="8221" w:type="dxa"/>
          </w:tcPr>
          <w:p>
            <w:pPr>
              <w:spacing w:line="360" w:lineRule="auto"/>
              <w:jc w:val="left"/>
              <w:rPr>
                <w:rFonts w:ascii="宋体" w:hAnsi="宋体" w:cs="宋体"/>
                <w:sz w:val="24"/>
              </w:rPr>
            </w:pPr>
            <w:r>
              <w:rPr>
                <w:rFonts w:hint="eastAsia" w:ascii="宋体" w:hAnsi="宋体" w:cs="宋体"/>
                <w:sz w:val="24"/>
              </w:rPr>
              <w:t xml:space="preserve">C臂旋转采集速度≥60度/秒（侧位）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1.11</w:t>
            </w:r>
          </w:p>
        </w:tc>
        <w:tc>
          <w:tcPr>
            <w:tcW w:w="8221" w:type="dxa"/>
          </w:tcPr>
          <w:p>
            <w:pPr>
              <w:spacing w:line="360" w:lineRule="auto"/>
              <w:jc w:val="left"/>
              <w:rPr>
                <w:rFonts w:ascii="宋体" w:hAnsi="宋体" w:cs="宋体"/>
                <w:sz w:val="24"/>
              </w:rPr>
            </w:pPr>
            <w:r>
              <w:rPr>
                <w:rFonts w:hint="eastAsia" w:ascii="宋体" w:hAnsi="宋体" w:cs="宋体"/>
                <w:sz w:val="24"/>
              </w:rPr>
              <w:t>SID范围可调，最小范围≥90cm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1.12</w:t>
            </w:r>
          </w:p>
        </w:tc>
        <w:tc>
          <w:tcPr>
            <w:tcW w:w="8221" w:type="dxa"/>
          </w:tcPr>
          <w:p>
            <w:pPr>
              <w:spacing w:line="360" w:lineRule="auto"/>
              <w:jc w:val="left"/>
              <w:rPr>
                <w:rFonts w:ascii="宋体" w:hAnsi="宋体" w:cs="宋体"/>
                <w:sz w:val="24"/>
                <w:lang w:val="el-GR"/>
              </w:rPr>
            </w:pPr>
            <w:r>
              <w:rPr>
                <w:rFonts w:hint="eastAsia" w:ascii="宋体" w:hAnsi="宋体" w:cs="宋体"/>
                <w:sz w:val="24"/>
              </w:rPr>
              <w:t>SID范围可调，最大范围≥120cm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1.13</w:t>
            </w:r>
          </w:p>
        </w:tc>
        <w:tc>
          <w:tcPr>
            <w:tcW w:w="8221" w:type="dxa"/>
          </w:tcPr>
          <w:p>
            <w:pPr>
              <w:spacing w:line="360" w:lineRule="auto"/>
              <w:rPr>
                <w:rFonts w:ascii="宋体" w:hAnsi="宋体" w:cs="宋体"/>
                <w:sz w:val="24"/>
                <w:lang w:val="el-GR"/>
              </w:rPr>
            </w:pPr>
            <w:r>
              <w:rPr>
                <w:rFonts w:hint="eastAsia" w:ascii="宋体" w:hAnsi="宋体" w:cs="宋体"/>
                <w:sz w:val="24"/>
              </w:rPr>
              <w:t>机架可移动至抢救位,即</w:t>
            </w:r>
            <w:r>
              <w:rPr>
                <w:rFonts w:hint="eastAsia" w:ascii="宋体" w:hAnsi="宋体" w:cs="宋体"/>
                <w:kern w:val="0"/>
                <w:sz w:val="24"/>
              </w:rPr>
              <w:t>机架可与检查床完全分离，便于开展抢救或特殊治疗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★1.14</w:t>
            </w:r>
          </w:p>
        </w:tc>
        <w:tc>
          <w:tcPr>
            <w:tcW w:w="8221" w:type="dxa"/>
          </w:tcPr>
          <w:p>
            <w:pPr>
              <w:spacing w:line="360" w:lineRule="auto"/>
              <w:jc w:val="left"/>
              <w:rPr>
                <w:rFonts w:ascii="宋体" w:hAnsi="宋体" w:cs="宋体"/>
                <w:b/>
                <w:bCs/>
                <w:sz w:val="24"/>
                <w:lang w:val="el-GR"/>
              </w:rPr>
            </w:pPr>
            <w:r>
              <w:rPr>
                <w:rFonts w:hint="eastAsia" w:ascii="宋体" w:hAnsi="宋体" w:cs="宋体"/>
                <w:b/>
                <w:bCs/>
                <w:sz w:val="24"/>
                <w:lang w:val="el-GR"/>
              </w:rPr>
              <w:t>准直器和平板探测器具备</w:t>
            </w:r>
            <w:r>
              <w:rPr>
                <w:rFonts w:hint="eastAsia" w:ascii="宋体" w:hAnsi="宋体" w:cs="宋体"/>
                <w:b/>
                <w:bCs/>
                <w:sz w:val="24"/>
              </w:rPr>
              <w:t>同步</w:t>
            </w:r>
            <w:r>
              <w:rPr>
                <w:rFonts w:hint="eastAsia" w:ascii="宋体" w:hAnsi="宋体" w:cs="宋体"/>
                <w:b/>
                <w:bCs/>
                <w:sz w:val="24"/>
                <w:lang w:val="el-GR"/>
              </w:rPr>
              <w:t>旋转技术，</w:t>
            </w:r>
            <w:r>
              <w:rPr>
                <w:rFonts w:hint="eastAsia" w:ascii="宋体" w:hAnsi="宋体" w:cs="宋体"/>
                <w:b/>
                <w:bCs/>
                <w:sz w:val="24"/>
              </w:rPr>
              <w:t>无论C臂机架与检查床投照角度如何，平板探测器始终与检查床保持相对静止，实时图像始终保持正直向上无偏转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2</w:t>
            </w:r>
          </w:p>
        </w:tc>
        <w:tc>
          <w:tcPr>
            <w:tcW w:w="8221" w:type="dxa"/>
          </w:tcPr>
          <w:p>
            <w:pPr>
              <w:spacing w:line="360" w:lineRule="auto"/>
              <w:jc w:val="left"/>
              <w:rPr>
                <w:rFonts w:ascii="宋体" w:hAnsi="宋体" w:cs="宋体"/>
                <w:b/>
                <w:bCs/>
                <w:sz w:val="24"/>
              </w:rPr>
            </w:pPr>
            <w:r>
              <w:rPr>
                <w:rFonts w:hint="eastAsia" w:ascii="宋体" w:hAnsi="宋体" w:cs="宋体"/>
                <w:b/>
                <w:bCs/>
                <w:sz w:val="24"/>
              </w:rPr>
              <w:t>导管床：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2.1</w:t>
            </w:r>
          </w:p>
        </w:tc>
        <w:tc>
          <w:tcPr>
            <w:tcW w:w="8221" w:type="dxa"/>
          </w:tcPr>
          <w:p>
            <w:pPr>
              <w:spacing w:line="360" w:lineRule="auto"/>
              <w:jc w:val="left"/>
              <w:rPr>
                <w:rFonts w:ascii="宋体" w:hAnsi="宋体"/>
                <w:sz w:val="24"/>
              </w:rPr>
            </w:pPr>
            <w:r>
              <w:rPr>
                <w:rFonts w:hint="eastAsia" w:ascii="宋体" w:hAnsi="宋体"/>
                <w:sz w:val="24"/>
              </w:rPr>
              <w:t>碳纤维浮动床面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2.2</w:t>
            </w:r>
          </w:p>
        </w:tc>
        <w:tc>
          <w:tcPr>
            <w:tcW w:w="8221" w:type="dxa"/>
          </w:tcPr>
          <w:p>
            <w:pPr>
              <w:spacing w:line="360" w:lineRule="auto"/>
              <w:jc w:val="left"/>
              <w:rPr>
                <w:rFonts w:ascii="宋体" w:hAnsi="宋体"/>
                <w:sz w:val="24"/>
              </w:rPr>
            </w:pPr>
            <w:r>
              <w:rPr>
                <w:rFonts w:hint="eastAsia" w:ascii="宋体" w:hAnsi="宋体"/>
                <w:sz w:val="24"/>
              </w:rPr>
              <w:t>床长≥280</w:t>
            </w:r>
            <w:r>
              <w:rPr>
                <w:rFonts w:ascii="宋体" w:hAnsi="宋体"/>
                <w:sz w:val="24"/>
              </w:rPr>
              <w:t>cm</w:t>
            </w:r>
            <w:r>
              <w:rPr>
                <w:rFonts w:hint="eastAsia" w:ascii="宋体" w:hAnsi="宋体"/>
                <w:sz w:val="24"/>
              </w:rPr>
              <w:t>（不包含延长板的长度）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2.3</w:t>
            </w:r>
          </w:p>
        </w:tc>
        <w:tc>
          <w:tcPr>
            <w:tcW w:w="8221" w:type="dxa"/>
          </w:tcPr>
          <w:p>
            <w:pPr>
              <w:spacing w:line="360" w:lineRule="auto"/>
              <w:jc w:val="left"/>
              <w:rPr>
                <w:rFonts w:ascii="宋体" w:hAnsi="宋体"/>
                <w:sz w:val="24"/>
              </w:rPr>
            </w:pPr>
            <w:r>
              <w:rPr>
                <w:rFonts w:hint="eastAsia" w:ascii="宋体" w:hAnsi="宋体"/>
                <w:sz w:val="24"/>
              </w:rPr>
              <w:t>床宽≥</w:t>
            </w:r>
            <w:r>
              <w:rPr>
                <w:rFonts w:ascii="宋体" w:hAnsi="宋体"/>
                <w:sz w:val="24"/>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2.4</w:t>
            </w:r>
          </w:p>
        </w:tc>
        <w:tc>
          <w:tcPr>
            <w:tcW w:w="8221" w:type="dxa"/>
          </w:tcPr>
          <w:p>
            <w:pPr>
              <w:spacing w:line="360" w:lineRule="auto"/>
              <w:jc w:val="left"/>
              <w:rPr>
                <w:rFonts w:ascii="宋体" w:hAnsi="宋体"/>
                <w:sz w:val="24"/>
              </w:rPr>
            </w:pPr>
            <w:r>
              <w:rPr>
                <w:rFonts w:hint="eastAsia" w:ascii="宋体" w:hAnsi="宋体"/>
                <w:sz w:val="24"/>
              </w:rPr>
              <w:t>床的最大病人承重≥</w:t>
            </w:r>
            <w:r>
              <w:rPr>
                <w:rFonts w:ascii="宋体" w:hAnsi="宋体"/>
                <w:sz w:val="24"/>
              </w:rPr>
              <w:t>2</w:t>
            </w:r>
            <w:r>
              <w:rPr>
                <w:rFonts w:hint="eastAsia" w:ascii="宋体" w:hAnsi="宋体"/>
                <w:sz w:val="24"/>
              </w:rPr>
              <w:t>5</w:t>
            </w:r>
            <w:r>
              <w:rPr>
                <w:rFonts w:ascii="宋体" w:hAnsi="宋体"/>
                <w:sz w:val="24"/>
              </w:rPr>
              <w:t>0KG</w:t>
            </w:r>
            <w:r>
              <w:rPr>
                <w:rFonts w:hint="eastAsia" w:ascii="宋体" w:hAnsi="宋体"/>
                <w:sz w:val="24"/>
              </w:rPr>
              <w:t>+100KG（CPR）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2.5</w:t>
            </w:r>
          </w:p>
        </w:tc>
        <w:tc>
          <w:tcPr>
            <w:tcW w:w="8221" w:type="dxa"/>
          </w:tcPr>
          <w:p>
            <w:pPr>
              <w:spacing w:line="360" w:lineRule="auto"/>
              <w:jc w:val="left"/>
              <w:rPr>
                <w:rFonts w:ascii="宋体" w:hAnsi="宋体"/>
                <w:sz w:val="24"/>
              </w:rPr>
            </w:pPr>
            <w:r>
              <w:rPr>
                <w:rFonts w:hint="eastAsia" w:ascii="宋体" w:hAnsi="宋体"/>
                <w:sz w:val="24"/>
              </w:rPr>
              <w:t>床的最大物理承重≥390KG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2.6</w:t>
            </w:r>
          </w:p>
        </w:tc>
        <w:tc>
          <w:tcPr>
            <w:tcW w:w="8221" w:type="dxa"/>
          </w:tcPr>
          <w:p>
            <w:pPr>
              <w:spacing w:line="360" w:lineRule="auto"/>
              <w:jc w:val="left"/>
              <w:rPr>
                <w:rFonts w:ascii="宋体" w:hAnsi="宋体"/>
                <w:sz w:val="24"/>
              </w:rPr>
            </w:pPr>
            <w:r>
              <w:rPr>
                <w:rFonts w:hint="eastAsia" w:ascii="宋体" w:hAnsi="宋体"/>
                <w:sz w:val="24"/>
              </w:rPr>
              <w:t>床的纵向运动范围≥</w:t>
            </w:r>
            <w:r>
              <w:rPr>
                <w:rFonts w:ascii="宋体" w:hAnsi="宋体"/>
                <w:sz w:val="24"/>
              </w:rPr>
              <w:t>1</w:t>
            </w:r>
            <w:r>
              <w:rPr>
                <w:rFonts w:hint="eastAsia" w:ascii="宋体" w:hAnsi="宋体"/>
                <w:sz w:val="24"/>
              </w:rPr>
              <w:t>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▲2.7</w:t>
            </w:r>
          </w:p>
        </w:tc>
        <w:tc>
          <w:tcPr>
            <w:tcW w:w="8221" w:type="dxa"/>
          </w:tcPr>
          <w:p>
            <w:pPr>
              <w:spacing w:line="360" w:lineRule="auto"/>
              <w:jc w:val="left"/>
              <w:rPr>
                <w:rFonts w:ascii="宋体" w:hAnsi="宋体"/>
                <w:b/>
                <w:bCs/>
                <w:sz w:val="24"/>
              </w:rPr>
            </w:pPr>
            <w:r>
              <w:rPr>
                <w:rFonts w:hint="eastAsia" w:ascii="宋体" w:hAnsi="宋体"/>
                <w:b/>
                <w:bCs/>
                <w:snapToGrid w:val="0"/>
                <w:sz w:val="24"/>
              </w:rPr>
              <w:t>床面的垂直升降范围</w:t>
            </w:r>
            <w:r>
              <w:rPr>
                <w:rFonts w:hint="eastAsia" w:ascii="宋体" w:hAnsi="宋体"/>
                <w:b/>
                <w:bCs/>
                <w:sz w:val="24"/>
              </w:rPr>
              <w:t>≥32cm</w:t>
            </w:r>
            <w:r>
              <w:rPr>
                <w:rFonts w:ascii="宋体" w:hAnsi="宋体"/>
                <w:b/>
                <w:bCs/>
                <w:sz w:val="24"/>
              </w:rPr>
              <w:t xml:space="preserve"> </w:t>
            </w:r>
            <w:r>
              <w:rPr>
                <w:rFonts w:hint="eastAsia" w:ascii="宋体" w:hAnsi="宋体"/>
                <w:b/>
                <w:bCs/>
                <w:sz w:val="24"/>
              </w:rPr>
              <w:t>（须提供产品彩页或技术白皮书或使用说明书或检验报告进行佐证）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2.8</w:t>
            </w:r>
          </w:p>
        </w:tc>
        <w:tc>
          <w:tcPr>
            <w:tcW w:w="8221" w:type="dxa"/>
          </w:tcPr>
          <w:p>
            <w:pPr>
              <w:spacing w:line="360" w:lineRule="auto"/>
              <w:jc w:val="left"/>
              <w:rPr>
                <w:rFonts w:ascii="宋体" w:hAnsi="宋体"/>
                <w:sz w:val="24"/>
              </w:rPr>
            </w:pPr>
            <w:r>
              <w:rPr>
                <w:rFonts w:hint="eastAsia" w:ascii="宋体" w:hAnsi="宋体"/>
                <w:sz w:val="24"/>
              </w:rPr>
              <w:t>床面的旋转≥±</w:t>
            </w:r>
            <w:r>
              <w:rPr>
                <w:rFonts w:ascii="宋体" w:hAnsi="宋体"/>
                <w:sz w:val="24"/>
              </w:rPr>
              <w:t>1</w:t>
            </w:r>
            <w:r>
              <w:rPr>
                <w:rFonts w:hint="eastAsia" w:ascii="宋体" w:hAnsi="宋体"/>
                <w:sz w:val="24"/>
              </w:rPr>
              <w:t>2</w:t>
            </w:r>
            <w:r>
              <w:rPr>
                <w:rFonts w:ascii="宋体" w:hAnsi="宋体"/>
                <w:sz w:val="24"/>
              </w:rPr>
              <w:t>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2.9</w:t>
            </w:r>
          </w:p>
        </w:tc>
        <w:tc>
          <w:tcPr>
            <w:tcW w:w="8221" w:type="dxa"/>
          </w:tcPr>
          <w:p>
            <w:pPr>
              <w:spacing w:line="360" w:lineRule="auto"/>
              <w:jc w:val="left"/>
              <w:rPr>
                <w:rFonts w:ascii="宋体" w:hAnsi="宋体"/>
                <w:sz w:val="24"/>
              </w:rPr>
            </w:pPr>
            <w:r>
              <w:rPr>
                <w:rFonts w:hint="eastAsia" w:ascii="宋体" w:hAnsi="宋体"/>
                <w:sz w:val="24"/>
              </w:rPr>
              <w:t>床面的横向运动≥</w:t>
            </w:r>
            <w:r>
              <w:rPr>
                <w:rFonts w:hint="eastAsia" w:ascii="宋体" w:hAnsi="宋体"/>
                <w:sz w:val="24"/>
              </w:rPr>
              <w:sym w:font="Symbol" w:char="F0B1"/>
            </w:r>
            <w:r>
              <w:rPr>
                <w:rFonts w:hint="eastAsia" w:ascii="宋体" w:hAnsi="宋体"/>
                <w:sz w:val="24"/>
              </w:rPr>
              <w:t>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2.10</w:t>
            </w:r>
          </w:p>
        </w:tc>
        <w:tc>
          <w:tcPr>
            <w:tcW w:w="8221" w:type="dxa"/>
          </w:tcPr>
          <w:p>
            <w:pPr>
              <w:spacing w:line="360" w:lineRule="auto"/>
              <w:jc w:val="left"/>
              <w:rPr>
                <w:rFonts w:ascii="宋体" w:hAnsi="宋体"/>
                <w:sz w:val="24"/>
              </w:rPr>
            </w:pPr>
            <w:r>
              <w:rPr>
                <w:rFonts w:hint="eastAsia" w:ascii="宋体" w:hAnsi="宋体"/>
                <w:sz w:val="24"/>
              </w:rPr>
              <w:t>导管床手臂支架，床垫，输液支架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kern w:val="0"/>
                <w:sz w:val="24"/>
              </w:rPr>
            </w:pPr>
            <w:r>
              <w:rPr>
                <w:rFonts w:hint="eastAsia" w:ascii="宋体" w:hAnsi="宋体" w:cs="宋体"/>
                <w:b/>
                <w:bCs/>
                <w:sz w:val="24"/>
              </w:rPr>
              <w:t>3</w:t>
            </w:r>
          </w:p>
        </w:tc>
        <w:tc>
          <w:tcPr>
            <w:tcW w:w="8221" w:type="dxa"/>
          </w:tcPr>
          <w:p>
            <w:pPr>
              <w:spacing w:line="360" w:lineRule="auto"/>
              <w:jc w:val="left"/>
              <w:rPr>
                <w:rFonts w:ascii="宋体" w:hAnsi="宋体" w:cs="宋体"/>
                <w:b/>
                <w:bCs/>
                <w:kern w:val="0"/>
                <w:sz w:val="24"/>
              </w:rPr>
            </w:pPr>
            <w:r>
              <w:rPr>
                <w:rFonts w:hint="eastAsia" w:ascii="宋体" w:hAnsi="宋体" w:cs="宋体"/>
                <w:b/>
                <w:bCs/>
                <w:kern w:val="0"/>
                <w:sz w:val="24"/>
              </w:rPr>
              <w:t>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kern w:val="0"/>
                <w:sz w:val="24"/>
              </w:rPr>
            </w:pPr>
            <w:r>
              <w:rPr>
                <w:rFonts w:hint="eastAsia" w:ascii="宋体" w:hAnsi="宋体" w:cs="宋体"/>
                <w:sz w:val="24"/>
              </w:rPr>
              <w:t>3.1</w:t>
            </w:r>
          </w:p>
        </w:tc>
        <w:tc>
          <w:tcPr>
            <w:tcW w:w="8221" w:type="dxa"/>
          </w:tcPr>
          <w:p>
            <w:pPr>
              <w:spacing w:line="360" w:lineRule="auto"/>
              <w:jc w:val="left"/>
              <w:rPr>
                <w:rFonts w:ascii="宋体" w:hAnsi="宋体"/>
                <w:kern w:val="0"/>
                <w:sz w:val="24"/>
              </w:rPr>
            </w:pPr>
            <w:r>
              <w:rPr>
                <w:rFonts w:hint="eastAsia" w:ascii="宋体" w:hAnsi="宋体"/>
                <w:kern w:val="0"/>
                <w:sz w:val="24"/>
              </w:rPr>
              <w:t>检查床旁具备液晶触摸控制屏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3.2</w:t>
            </w:r>
          </w:p>
        </w:tc>
        <w:tc>
          <w:tcPr>
            <w:tcW w:w="8221" w:type="dxa"/>
          </w:tcPr>
          <w:p>
            <w:pPr>
              <w:spacing w:line="360" w:lineRule="auto"/>
              <w:jc w:val="left"/>
              <w:rPr>
                <w:rFonts w:ascii="宋体" w:hAnsi="宋体"/>
                <w:kern w:val="0"/>
                <w:sz w:val="24"/>
              </w:rPr>
            </w:pPr>
            <w:r>
              <w:rPr>
                <w:rFonts w:hint="eastAsia" w:ascii="宋体" w:hAnsi="宋体"/>
                <w:kern w:val="0"/>
                <w:sz w:val="24"/>
              </w:rPr>
              <w:t>液晶触摸控制屏可置于导管床三边，满足不同临床操作需求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3.3</w:t>
            </w:r>
          </w:p>
        </w:tc>
        <w:tc>
          <w:tcPr>
            <w:tcW w:w="8221" w:type="dxa"/>
          </w:tcPr>
          <w:p>
            <w:pPr>
              <w:spacing w:line="360" w:lineRule="auto"/>
              <w:jc w:val="left"/>
              <w:rPr>
                <w:rFonts w:ascii="宋体" w:hAnsi="宋体"/>
                <w:kern w:val="0"/>
                <w:sz w:val="24"/>
              </w:rPr>
            </w:pPr>
            <w:r>
              <w:rPr>
                <w:rFonts w:hint="eastAsia" w:ascii="宋体" w:hAnsi="宋体"/>
                <w:kern w:val="0"/>
                <w:sz w:val="24"/>
              </w:rPr>
              <w:t>液晶触摸控制屏上可进行</w:t>
            </w:r>
            <w:r>
              <w:rPr>
                <w:rFonts w:hint="eastAsia" w:ascii="宋体" w:hAnsi="宋体"/>
                <w:sz w:val="24"/>
              </w:rPr>
              <w:t>采集条件，对比度，亮度，边缘增强、电子遮光器等参数设置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3.4</w:t>
            </w:r>
          </w:p>
        </w:tc>
        <w:tc>
          <w:tcPr>
            <w:tcW w:w="8221" w:type="dxa"/>
          </w:tcPr>
          <w:p>
            <w:pPr>
              <w:spacing w:line="360" w:lineRule="auto"/>
              <w:jc w:val="left"/>
              <w:rPr>
                <w:rFonts w:ascii="宋体" w:hAnsi="宋体"/>
                <w:sz w:val="24"/>
              </w:rPr>
            </w:pPr>
            <w:r>
              <w:rPr>
                <w:rFonts w:hint="eastAsia" w:ascii="宋体" w:hAnsi="宋体"/>
                <w:sz w:val="24"/>
              </w:rPr>
              <w:t>配备立体三键鼠标手柄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4</w:t>
            </w:r>
          </w:p>
        </w:tc>
        <w:tc>
          <w:tcPr>
            <w:tcW w:w="8221" w:type="dxa"/>
          </w:tcPr>
          <w:p>
            <w:pPr>
              <w:spacing w:line="360" w:lineRule="auto"/>
              <w:jc w:val="left"/>
              <w:rPr>
                <w:rFonts w:ascii="宋体" w:hAnsi="宋体" w:cs="宋体"/>
                <w:b/>
                <w:bCs/>
                <w:sz w:val="24"/>
              </w:rPr>
            </w:pPr>
            <w:r>
              <w:rPr>
                <w:rFonts w:hint="eastAsia" w:ascii="宋体" w:hAnsi="宋体" w:cs="宋体"/>
                <w:b/>
                <w:bCs/>
                <w:sz w:val="24"/>
              </w:rPr>
              <w:t>X线高压发生器装置：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4.1</w:t>
            </w:r>
          </w:p>
        </w:tc>
        <w:tc>
          <w:tcPr>
            <w:tcW w:w="8221" w:type="dxa"/>
          </w:tcPr>
          <w:p>
            <w:pPr>
              <w:spacing w:line="360" w:lineRule="auto"/>
              <w:jc w:val="left"/>
              <w:rPr>
                <w:rFonts w:ascii="宋体" w:hAnsi="宋体"/>
                <w:sz w:val="24"/>
              </w:rPr>
            </w:pPr>
            <w:r>
              <w:rPr>
                <w:rFonts w:hint="eastAsia" w:ascii="宋体" w:hAnsi="宋体"/>
                <w:sz w:val="24"/>
              </w:rPr>
              <w:t>发生器功率≥</w:t>
            </w:r>
            <w:r>
              <w:rPr>
                <w:rFonts w:ascii="宋体" w:hAnsi="宋体"/>
                <w:sz w:val="24"/>
              </w:rPr>
              <w:t>100</w:t>
            </w:r>
            <w:r>
              <w:rPr>
                <w:rFonts w:hint="eastAsia" w:ascii="宋体" w:hAnsi="宋体"/>
                <w:sz w:val="24"/>
              </w:rPr>
              <w:t>k</w:t>
            </w:r>
            <w:r>
              <w:rPr>
                <w:rFonts w:ascii="宋体" w:hAnsi="宋体"/>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4.2</w:t>
            </w:r>
          </w:p>
        </w:tc>
        <w:tc>
          <w:tcPr>
            <w:tcW w:w="8221" w:type="dxa"/>
          </w:tcPr>
          <w:p>
            <w:pPr>
              <w:spacing w:line="360" w:lineRule="auto"/>
              <w:jc w:val="left"/>
              <w:rPr>
                <w:rFonts w:ascii="宋体" w:hAnsi="宋体"/>
                <w:sz w:val="24"/>
              </w:rPr>
            </w:pPr>
            <w:r>
              <w:rPr>
                <w:rFonts w:hint="eastAsia" w:ascii="宋体" w:hAnsi="宋体"/>
                <w:sz w:val="24"/>
              </w:rPr>
              <w:t>最大管电流支持≥1000mA （100</w:t>
            </w:r>
            <w:r>
              <w:rPr>
                <w:rFonts w:ascii="宋体" w:hAnsi="宋体"/>
                <w:sz w:val="24"/>
              </w:rPr>
              <w:t>k</w:t>
            </w:r>
            <w:r>
              <w:rPr>
                <w:rFonts w:hint="eastAsia" w:ascii="宋体" w:hAnsi="宋体"/>
                <w:sz w:val="24"/>
              </w:rPr>
              <w:t>V/100kW时）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4.3</w:t>
            </w:r>
          </w:p>
        </w:tc>
        <w:tc>
          <w:tcPr>
            <w:tcW w:w="8221" w:type="dxa"/>
          </w:tcPr>
          <w:p>
            <w:pPr>
              <w:spacing w:line="360" w:lineRule="auto"/>
              <w:jc w:val="left"/>
              <w:rPr>
                <w:rFonts w:ascii="宋体" w:hAnsi="宋体"/>
                <w:sz w:val="24"/>
              </w:rPr>
            </w:pPr>
            <w:r>
              <w:rPr>
                <w:rFonts w:hint="eastAsia" w:ascii="宋体" w:hAnsi="宋体"/>
                <w:sz w:val="24"/>
              </w:rPr>
              <w:t>最小管电流≤0.5mA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4.4</w:t>
            </w:r>
          </w:p>
        </w:tc>
        <w:tc>
          <w:tcPr>
            <w:tcW w:w="8221" w:type="dxa"/>
          </w:tcPr>
          <w:p>
            <w:pPr>
              <w:spacing w:line="360" w:lineRule="auto"/>
              <w:jc w:val="left"/>
              <w:rPr>
                <w:rFonts w:ascii="宋体" w:hAnsi="宋体"/>
                <w:sz w:val="24"/>
              </w:rPr>
            </w:pPr>
            <w:r>
              <w:rPr>
                <w:rFonts w:hint="eastAsia" w:ascii="宋体" w:hAnsi="宋体"/>
                <w:sz w:val="24"/>
              </w:rPr>
              <w:t>高频逆变频率≥100KHz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4.5</w:t>
            </w:r>
          </w:p>
        </w:tc>
        <w:tc>
          <w:tcPr>
            <w:tcW w:w="8221" w:type="dxa"/>
          </w:tcPr>
          <w:p>
            <w:pPr>
              <w:spacing w:line="360" w:lineRule="auto"/>
              <w:jc w:val="left"/>
              <w:rPr>
                <w:rFonts w:ascii="宋体" w:hAnsi="宋体"/>
                <w:sz w:val="24"/>
              </w:rPr>
            </w:pPr>
            <w:r>
              <w:rPr>
                <w:rFonts w:hint="eastAsia" w:ascii="宋体" w:hAnsi="宋体"/>
                <w:sz w:val="24"/>
              </w:rPr>
              <w:t>最小管电压≤40kV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4.6</w:t>
            </w:r>
          </w:p>
        </w:tc>
        <w:tc>
          <w:tcPr>
            <w:tcW w:w="8221" w:type="dxa"/>
          </w:tcPr>
          <w:p>
            <w:pPr>
              <w:spacing w:line="360" w:lineRule="auto"/>
              <w:jc w:val="left"/>
              <w:rPr>
                <w:rFonts w:ascii="宋体" w:hAnsi="宋体"/>
                <w:sz w:val="24"/>
              </w:rPr>
            </w:pPr>
            <w:r>
              <w:rPr>
                <w:rFonts w:hint="eastAsia" w:ascii="宋体" w:hAnsi="宋体"/>
                <w:sz w:val="24"/>
              </w:rPr>
              <w:t>最大管电压≥125kV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▲4.7</w:t>
            </w:r>
          </w:p>
        </w:tc>
        <w:tc>
          <w:tcPr>
            <w:tcW w:w="8221" w:type="dxa"/>
          </w:tcPr>
          <w:p>
            <w:pPr>
              <w:spacing w:line="360" w:lineRule="auto"/>
              <w:jc w:val="left"/>
              <w:rPr>
                <w:rFonts w:ascii="宋体" w:hAnsi="宋体"/>
                <w:b/>
                <w:bCs/>
                <w:sz w:val="24"/>
              </w:rPr>
            </w:pPr>
            <w:r>
              <w:rPr>
                <w:rFonts w:hint="eastAsia" w:ascii="宋体" w:hAnsi="宋体"/>
                <w:b/>
                <w:bCs/>
                <w:sz w:val="24"/>
              </w:rPr>
              <w:t>最短曝光时间</w:t>
            </w:r>
            <w:r>
              <w:rPr>
                <w:rFonts w:hint="eastAsia" w:ascii="宋体" w:hAnsi="宋体"/>
                <w:b/>
                <w:bCs/>
                <w:snapToGrid w:val="0"/>
                <w:sz w:val="24"/>
              </w:rPr>
              <w:t>≤O.5ms</w:t>
            </w:r>
            <w:r>
              <w:rPr>
                <w:rFonts w:hint="eastAsia" w:ascii="宋体" w:hAnsi="宋体"/>
                <w:b/>
                <w:bCs/>
                <w:sz w:val="24"/>
              </w:rPr>
              <w:t>（须提供产品彩页或技术白皮书或使用说明书或检验报告进行佐证）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4.8</w:t>
            </w:r>
          </w:p>
        </w:tc>
        <w:tc>
          <w:tcPr>
            <w:tcW w:w="8221" w:type="dxa"/>
          </w:tcPr>
          <w:p>
            <w:pPr>
              <w:spacing w:line="360" w:lineRule="auto"/>
              <w:jc w:val="left"/>
              <w:rPr>
                <w:rFonts w:ascii="宋体" w:hAnsi="宋体"/>
                <w:sz w:val="24"/>
              </w:rPr>
            </w:pPr>
            <w:r>
              <w:rPr>
                <w:rFonts w:hint="eastAsia" w:ascii="宋体" w:hAnsi="宋体"/>
                <w:sz w:val="24"/>
              </w:rPr>
              <w:t>最大</w:t>
            </w:r>
            <w:r>
              <w:rPr>
                <w:rFonts w:hint="eastAsia" w:ascii="宋体" w:hAnsi="宋体"/>
                <w:snapToGrid w:val="0"/>
                <w:sz w:val="24"/>
              </w:rPr>
              <w:t>连续透视功率</w:t>
            </w:r>
            <w:r>
              <w:rPr>
                <w:rFonts w:hint="eastAsia" w:ascii="宋体" w:hAnsi="宋体"/>
                <w:sz w:val="24"/>
              </w:rPr>
              <w:t>≥</w:t>
            </w:r>
            <w:r>
              <w:rPr>
                <w:rFonts w:ascii="宋体" w:hAnsi="宋体"/>
                <w:snapToGrid w:val="0"/>
                <w:sz w:val="24"/>
              </w:rPr>
              <w:t>3</w:t>
            </w:r>
            <w:r>
              <w:rPr>
                <w:rFonts w:hint="eastAsia" w:ascii="宋体" w:hAnsi="宋体"/>
                <w:snapToGrid w:val="0"/>
                <w:sz w:val="24"/>
              </w:rPr>
              <w:t>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4.9</w:t>
            </w:r>
          </w:p>
        </w:tc>
        <w:tc>
          <w:tcPr>
            <w:tcW w:w="8221" w:type="dxa"/>
          </w:tcPr>
          <w:p>
            <w:pPr>
              <w:spacing w:line="360" w:lineRule="auto"/>
              <w:jc w:val="left"/>
              <w:rPr>
                <w:rFonts w:ascii="宋体" w:hAnsi="宋体"/>
                <w:sz w:val="24"/>
              </w:rPr>
            </w:pPr>
            <w:r>
              <w:rPr>
                <w:rFonts w:hint="eastAsia" w:ascii="宋体" w:hAnsi="宋体"/>
                <w:sz w:val="24"/>
              </w:rPr>
              <w:t>无需测试曝光进行自动曝光控制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5</w:t>
            </w:r>
          </w:p>
        </w:tc>
        <w:tc>
          <w:tcPr>
            <w:tcW w:w="8221" w:type="dxa"/>
          </w:tcPr>
          <w:p>
            <w:pPr>
              <w:spacing w:line="360" w:lineRule="auto"/>
              <w:jc w:val="left"/>
              <w:rPr>
                <w:rFonts w:ascii="宋体" w:hAnsi="宋体" w:cs="宋体"/>
                <w:b/>
                <w:bCs/>
                <w:sz w:val="24"/>
              </w:rPr>
            </w:pPr>
            <w:r>
              <w:rPr>
                <w:rFonts w:hint="eastAsia" w:ascii="宋体" w:hAnsi="宋体" w:cs="宋体"/>
                <w:b/>
                <w:bCs/>
                <w:sz w:val="24"/>
              </w:rPr>
              <w:t>X线球管：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★5.1</w:t>
            </w:r>
          </w:p>
        </w:tc>
        <w:tc>
          <w:tcPr>
            <w:tcW w:w="8221" w:type="dxa"/>
          </w:tcPr>
          <w:p>
            <w:pPr>
              <w:spacing w:line="360" w:lineRule="auto"/>
              <w:jc w:val="left"/>
              <w:rPr>
                <w:rFonts w:ascii="宋体" w:hAnsi="宋体"/>
                <w:b/>
                <w:bCs/>
                <w:snapToGrid w:val="0"/>
                <w:sz w:val="24"/>
              </w:rPr>
            </w:pPr>
            <w:r>
              <w:rPr>
                <w:rFonts w:hint="eastAsia" w:ascii="宋体" w:hAnsi="宋体"/>
                <w:b/>
                <w:bCs/>
                <w:sz w:val="24"/>
              </w:rPr>
              <w:t>最大透视管电流≥250mA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5.2</w:t>
            </w:r>
          </w:p>
        </w:tc>
        <w:tc>
          <w:tcPr>
            <w:tcW w:w="8221" w:type="dxa"/>
          </w:tcPr>
          <w:p>
            <w:pPr>
              <w:spacing w:line="360" w:lineRule="auto"/>
              <w:jc w:val="left"/>
              <w:rPr>
                <w:rFonts w:ascii="宋体" w:hAnsi="宋体"/>
                <w:sz w:val="24"/>
              </w:rPr>
            </w:pPr>
            <w:r>
              <w:rPr>
                <w:rFonts w:ascii="宋体" w:hAnsi="宋体"/>
                <w:snapToGrid w:val="0"/>
                <w:sz w:val="24"/>
              </w:rPr>
              <w:t>球管</w:t>
            </w:r>
            <w:r>
              <w:rPr>
                <w:rFonts w:hint="eastAsia" w:ascii="宋体" w:hAnsi="宋体"/>
                <w:snapToGrid w:val="0"/>
                <w:sz w:val="24"/>
              </w:rPr>
              <w:t>阳极连续高速旋转，转速</w:t>
            </w:r>
            <w:r>
              <w:rPr>
                <w:rFonts w:hint="eastAsia" w:ascii="宋体" w:hAnsi="宋体"/>
                <w:sz w:val="24"/>
              </w:rPr>
              <w:t>≥</w:t>
            </w:r>
            <w:r>
              <w:rPr>
                <w:rFonts w:ascii="宋体" w:hAnsi="宋体"/>
                <w:snapToGrid w:val="0"/>
                <w:sz w:val="24"/>
              </w:rPr>
              <w:t>9600</w:t>
            </w:r>
            <w:r>
              <w:rPr>
                <w:rFonts w:hint="eastAsia" w:ascii="宋体" w:hAnsi="宋体"/>
                <w:snapToGrid w:val="0"/>
                <w:sz w:val="24"/>
              </w:rPr>
              <w:t>转/分，包括透视及采集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★5.3</w:t>
            </w:r>
          </w:p>
        </w:tc>
        <w:tc>
          <w:tcPr>
            <w:tcW w:w="8221" w:type="dxa"/>
          </w:tcPr>
          <w:p>
            <w:pPr>
              <w:spacing w:line="360" w:lineRule="auto"/>
              <w:jc w:val="left"/>
              <w:rPr>
                <w:rFonts w:ascii="宋体" w:hAnsi="宋体"/>
                <w:b/>
                <w:bCs/>
                <w:sz w:val="24"/>
              </w:rPr>
            </w:pPr>
            <w:r>
              <w:rPr>
                <w:rFonts w:hint="eastAsia" w:ascii="宋体" w:hAnsi="宋体"/>
                <w:b/>
                <w:bCs/>
                <w:sz w:val="24"/>
              </w:rPr>
              <w:t>阳极热容量≥3</w:t>
            </w:r>
            <w:r>
              <w:rPr>
                <w:rFonts w:ascii="宋体" w:hAnsi="宋体"/>
                <w:b/>
                <w:bCs/>
                <w:sz w:val="24"/>
              </w:rPr>
              <w:t>.</w:t>
            </w:r>
            <w:r>
              <w:rPr>
                <w:rFonts w:hint="eastAsia" w:ascii="宋体" w:hAnsi="宋体"/>
                <w:b/>
                <w:bCs/>
                <w:sz w:val="24"/>
              </w:rPr>
              <w:t>375</w:t>
            </w:r>
            <w:r>
              <w:rPr>
                <w:rFonts w:ascii="宋体" w:hAnsi="宋体"/>
                <w:b/>
                <w:bCs/>
                <w:sz w:val="24"/>
              </w:rPr>
              <w:t>M</w:t>
            </w:r>
            <w:r>
              <w:rPr>
                <w:rFonts w:hint="eastAsia" w:ascii="宋体" w:hAnsi="宋体"/>
                <w:b/>
                <w:bCs/>
                <w:sz w:val="24"/>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5.4</w:t>
            </w:r>
          </w:p>
        </w:tc>
        <w:tc>
          <w:tcPr>
            <w:tcW w:w="8221" w:type="dxa"/>
          </w:tcPr>
          <w:p>
            <w:pPr>
              <w:spacing w:line="360" w:lineRule="auto"/>
              <w:jc w:val="left"/>
              <w:rPr>
                <w:rFonts w:ascii="宋体" w:hAnsi="宋体"/>
                <w:sz w:val="24"/>
              </w:rPr>
            </w:pPr>
            <w:r>
              <w:rPr>
                <w:rFonts w:hint="eastAsia" w:ascii="宋体" w:hAnsi="宋体"/>
                <w:sz w:val="24"/>
              </w:rPr>
              <w:t>管套热容量≥4</w:t>
            </w:r>
            <w:r>
              <w:rPr>
                <w:rFonts w:ascii="宋体" w:hAnsi="宋体"/>
                <w:sz w:val="24"/>
              </w:rPr>
              <w:t>.</w:t>
            </w:r>
            <w:r>
              <w:rPr>
                <w:rFonts w:hint="eastAsia" w:ascii="宋体" w:hAnsi="宋体"/>
                <w:sz w:val="24"/>
              </w:rPr>
              <w:t>9</w:t>
            </w:r>
            <w:r>
              <w:rPr>
                <w:rFonts w:ascii="宋体" w:hAnsi="宋体"/>
                <w:sz w:val="24"/>
              </w:rPr>
              <w:t>M</w:t>
            </w:r>
            <w:r>
              <w:rPr>
                <w:rFonts w:hint="eastAsia" w:ascii="宋体" w:hAnsi="宋体"/>
                <w:sz w:val="24"/>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5.5</w:t>
            </w:r>
          </w:p>
        </w:tc>
        <w:tc>
          <w:tcPr>
            <w:tcW w:w="8221" w:type="dxa"/>
          </w:tcPr>
          <w:p>
            <w:pPr>
              <w:spacing w:line="360" w:lineRule="auto"/>
              <w:jc w:val="left"/>
              <w:rPr>
                <w:rFonts w:ascii="宋体" w:hAnsi="宋体"/>
                <w:sz w:val="24"/>
              </w:rPr>
            </w:pPr>
            <w:r>
              <w:rPr>
                <w:rFonts w:hint="eastAsia" w:ascii="宋体" w:hAnsi="宋体"/>
                <w:sz w:val="24"/>
              </w:rPr>
              <w:t>阳极最大散热功率≥6500W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▲5.6</w:t>
            </w:r>
          </w:p>
        </w:tc>
        <w:tc>
          <w:tcPr>
            <w:tcW w:w="8221" w:type="dxa"/>
          </w:tcPr>
          <w:p>
            <w:pPr>
              <w:spacing w:line="360" w:lineRule="auto"/>
              <w:jc w:val="left"/>
              <w:rPr>
                <w:rFonts w:ascii="宋体" w:hAnsi="宋体"/>
                <w:b/>
                <w:bCs/>
                <w:sz w:val="24"/>
              </w:rPr>
            </w:pPr>
            <w:r>
              <w:rPr>
                <w:rFonts w:hint="eastAsia" w:ascii="宋体" w:hAnsi="宋体"/>
                <w:b/>
                <w:bCs/>
                <w:sz w:val="24"/>
              </w:rPr>
              <w:t>球管焦点≥3个（须提供产品彩页或技术白皮书或使用说明书或检验报告进行佐证）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5.7</w:t>
            </w:r>
          </w:p>
        </w:tc>
        <w:tc>
          <w:tcPr>
            <w:tcW w:w="8221" w:type="dxa"/>
          </w:tcPr>
          <w:p>
            <w:pPr>
              <w:spacing w:line="360" w:lineRule="auto"/>
              <w:jc w:val="left"/>
              <w:rPr>
                <w:rFonts w:ascii="宋体" w:hAnsi="宋体"/>
                <w:sz w:val="24"/>
              </w:rPr>
            </w:pPr>
            <w:r>
              <w:rPr>
                <w:rFonts w:hint="eastAsia" w:ascii="宋体" w:hAnsi="宋体"/>
                <w:snapToGrid w:val="0"/>
                <w:sz w:val="24"/>
              </w:rPr>
              <w:t>最小焦点≤0.3mm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5.8</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z w:val="24"/>
              </w:rPr>
              <w:t>最小焦点功率≥19k</w:t>
            </w:r>
            <w:r>
              <w:rPr>
                <w:rFonts w:ascii="宋体" w:hAnsi="宋体"/>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5.9</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z w:val="24"/>
              </w:rPr>
              <w:t>为提升连续透视功率，要求中焦点采用平板灯丝技术，非传统钨丝技术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5.10</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z w:val="24"/>
              </w:rPr>
              <w:t>为提升透视图像质量，要求中焦点可实现标准正方形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5.11</w:t>
            </w:r>
          </w:p>
        </w:tc>
        <w:tc>
          <w:tcPr>
            <w:tcW w:w="8221" w:type="dxa"/>
          </w:tcPr>
          <w:p>
            <w:pPr>
              <w:spacing w:line="360" w:lineRule="auto"/>
              <w:jc w:val="left"/>
              <w:rPr>
                <w:rFonts w:ascii="宋体" w:hAnsi="宋体"/>
                <w:sz w:val="24"/>
              </w:rPr>
            </w:pPr>
            <w:r>
              <w:rPr>
                <w:rFonts w:hint="eastAsia" w:ascii="宋体" w:hAnsi="宋体"/>
                <w:snapToGrid w:val="0"/>
                <w:sz w:val="24"/>
              </w:rPr>
              <w:t>中焦点≤0.6×</w:t>
            </w:r>
            <w:r>
              <w:rPr>
                <w:rFonts w:ascii="宋体" w:hAnsi="宋体"/>
                <w:snapToGrid w:val="0"/>
                <w:sz w:val="24"/>
              </w:rPr>
              <w:t>0.6</w:t>
            </w:r>
            <w:r>
              <w:rPr>
                <w:rFonts w:hint="eastAsia" w:ascii="宋体" w:hAnsi="宋体"/>
                <w:snapToGrid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5.12</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napToGrid w:val="0"/>
                <w:sz w:val="24"/>
              </w:rPr>
              <w:t>中焦点功率：</w:t>
            </w:r>
            <w:r>
              <w:rPr>
                <w:rFonts w:hint="eastAsia" w:ascii="宋体" w:hAnsi="宋体"/>
                <w:sz w:val="24"/>
              </w:rPr>
              <w:t>≥</w:t>
            </w:r>
            <w:r>
              <w:rPr>
                <w:rFonts w:hint="eastAsia" w:ascii="宋体" w:hAnsi="宋体"/>
                <w:snapToGrid w:val="0"/>
                <w:sz w:val="24"/>
              </w:rPr>
              <w:t>42k</w:t>
            </w:r>
            <w:r>
              <w:rPr>
                <w:rFonts w:ascii="宋体" w:hAnsi="宋体"/>
                <w:snapToGrid w:val="0"/>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sz w:val="24"/>
              </w:rPr>
              <w:t>5.13</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napToGrid w:val="0"/>
                <w:sz w:val="24"/>
              </w:rPr>
              <w:t>最大焦点≤1.0mm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5.14</w:t>
            </w:r>
          </w:p>
        </w:tc>
        <w:tc>
          <w:tcPr>
            <w:tcW w:w="8221" w:type="dxa"/>
          </w:tcPr>
          <w:p>
            <w:pPr>
              <w:tabs>
                <w:tab w:val="left" w:pos="3630"/>
                <w:tab w:val="left" w:pos="9300"/>
              </w:tabs>
              <w:spacing w:line="360" w:lineRule="auto"/>
              <w:jc w:val="left"/>
              <w:rPr>
                <w:rFonts w:ascii="宋体" w:hAnsi="宋体"/>
                <w:snapToGrid w:val="0"/>
                <w:sz w:val="24"/>
              </w:rPr>
            </w:pPr>
            <w:r>
              <w:rPr>
                <w:rFonts w:hint="eastAsia" w:ascii="宋体" w:hAnsi="宋体"/>
                <w:snapToGrid w:val="0"/>
                <w:sz w:val="24"/>
              </w:rPr>
              <w:t>最大焦点功率</w:t>
            </w:r>
            <w:r>
              <w:rPr>
                <w:rFonts w:hint="eastAsia" w:ascii="宋体" w:hAnsi="宋体"/>
                <w:sz w:val="24"/>
              </w:rPr>
              <w:t>≥</w:t>
            </w:r>
            <w:r>
              <w:rPr>
                <w:rFonts w:hint="eastAsia" w:ascii="宋体" w:hAnsi="宋体"/>
                <w:snapToGrid w:val="0"/>
                <w:sz w:val="24"/>
              </w:rPr>
              <w:t>90</w:t>
            </w:r>
            <w:r>
              <w:rPr>
                <w:rFonts w:ascii="宋体" w:hAnsi="宋体"/>
                <w:snapToGrid w:val="0"/>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5.15</w:t>
            </w:r>
          </w:p>
        </w:tc>
        <w:tc>
          <w:tcPr>
            <w:tcW w:w="8221" w:type="dxa"/>
          </w:tcPr>
          <w:p>
            <w:pPr>
              <w:spacing w:line="360" w:lineRule="auto"/>
              <w:jc w:val="left"/>
              <w:rPr>
                <w:rFonts w:ascii="宋体" w:hAnsi="宋体"/>
                <w:sz w:val="24"/>
              </w:rPr>
            </w:pPr>
            <w:r>
              <w:rPr>
                <w:rFonts w:hint="eastAsia" w:ascii="宋体" w:hAnsi="宋体"/>
                <w:sz w:val="24"/>
              </w:rPr>
              <w:t>球管带有防碰撞保护装置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5.16</w:t>
            </w:r>
          </w:p>
        </w:tc>
        <w:tc>
          <w:tcPr>
            <w:tcW w:w="8221" w:type="dxa"/>
          </w:tcPr>
          <w:p>
            <w:pPr>
              <w:spacing w:line="360" w:lineRule="auto"/>
              <w:jc w:val="left"/>
              <w:rPr>
                <w:rFonts w:ascii="宋体" w:hAnsi="宋体"/>
                <w:sz w:val="24"/>
              </w:rPr>
            </w:pPr>
            <w:r>
              <w:rPr>
                <w:rFonts w:hint="eastAsia" w:ascii="宋体" w:hAnsi="宋体"/>
                <w:sz w:val="24"/>
              </w:rPr>
              <w:t>球管采用油冷加水冷的冷却方式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5.17</w:t>
            </w:r>
          </w:p>
        </w:tc>
        <w:tc>
          <w:tcPr>
            <w:tcW w:w="8221" w:type="dxa"/>
          </w:tcPr>
          <w:p>
            <w:pPr>
              <w:spacing w:line="360" w:lineRule="auto"/>
              <w:jc w:val="left"/>
              <w:rPr>
                <w:rFonts w:ascii="宋体" w:hAnsi="宋体"/>
                <w:sz w:val="24"/>
              </w:rPr>
            </w:pPr>
            <w:r>
              <w:rPr>
                <w:rFonts w:hint="eastAsia" w:ascii="宋体" w:hAnsi="宋体"/>
                <w:sz w:val="24"/>
              </w:rPr>
              <w:t>球管采用液态金属轴承技术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5.18</w:t>
            </w:r>
          </w:p>
        </w:tc>
        <w:tc>
          <w:tcPr>
            <w:tcW w:w="8221" w:type="dxa"/>
          </w:tcPr>
          <w:p>
            <w:pPr>
              <w:spacing w:line="360" w:lineRule="auto"/>
              <w:jc w:val="left"/>
              <w:rPr>
                <w:rFonts w:ascii="宋体" w:hAnsi="宋体"/>
                <w:sz w:val="24"/>
              </w:rPr>
            </w:pPr>
            <w:r>
              <w:rPr>
                <w:rFonts w:hint="eastAsia" w:ascii="宋体" w:hAnsi="宋体"/>
                <w:sz w:val="24"/>
              </w:rPr>
              <w:t>球管具备焦点熔断技术，允许1个焦点熔断球管依然可以正常使用，不需要更换球管，</w:t>
            </w:r>
            <w:r>
              <w:rPr>
                <w:rFonts w:hint="eastAsia" w:ascii="宋体" w:hAnsi="宋体"/>
                <w:snapToGrid w:val="0"/>
                <w:sz w:val="24"/>
              </w:rPr>
              <w:t>且术中亦不影响正常使用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5.19</w:t>
            </w:r>
          </w:p>
        </w:tc>
        <w:tc>
          <w:tcPr>
            <w:tcW w:w="8221" w:type="dxa"/>
          </w:tcPr>
          <w:p>
            <w:pPr>
              <w:spacing w:line="360" w:lineRule="auto"/>
              <w:jc w:val="left"/>
              <w:rPr>
                <w:rFonts w:ascii="宋体" w:hAnsi="宋体"/>
                <w:sz w:val="24"/>
              </w:rPr>
            </w:pPr>
            <w:r>
              <w:rPr>
                <w:rFonts w:hint="eastAsia" w:ascii="宋体" w:hAnsi="宋体"/>
                <w:sz w:val="24"/>
              </w:rPr>
              <w:t>曝光自动调节参数≥5项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5.20</w:t>
            </w:r>
          </w:p>
        </w:tc>
        <w:tc>
          <w:tcPr>
            <w:tcW w:w="8221" w:type="dxa"/>
          </w:tcPr>
          <w:p>
            <w:pPr>
              <w:spacing w:line="360" w:lineRule="auto"/>
              <w:jc w:val="left"/>
              <w:rPr>
                <w:rFonts w:ascii="宋体" w:hAnsi="宋体"/>
                <w:sz w:val="24"/>
              </w:rPr>
            </w:pPr>
            <w:r>
              <w:rPr>
                <w:rFonts w:hint="eastAsia" w:ascii="宋体" w:hAnsi="宋体"/>
                <w:sz w:val="24"/>
              </w:rPr>
              <w:t>球管内金属铜滤片最小厚度 ≤0.1mm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6</w:t>
            </w:r>
          </w:p>
        </w:tc>
        <w:tc>
          <w:tcPr>
            <w:tcW w:w="8221" w:type="dxa"/>
          </w:tcPr>
          <w:p>
            <w:pPr>
              <w:spacing w:line="360" w:lineRule="auto"/>
              <w:jc w:val="left"/>
              <w:rPr>
                <w:rFonts w:ascii="宋体" w:hAnsi="宋体" w:cs="宋体"/>
                <w:b/>
                <w:bCs/>
                <w:sz w:val="24"/>
              </w:rPr>
            </w:pPr>
            <w:r>
              <w:rPr>
                <w:rFonts w:hint="eastAsia" w:ascii="宋体" w:hAnsi="宋体" w:cs="宋体"/>
                <w:b/>
                <w:bCs/>
                <w:sz w:val="24"/>
              </w:rPr>
              <w:t>数字化平板探测器：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tabs>
                <w:tab w:val="right" w:pos="2194"/>
              </w:tabs>
              <w:spacing w:line="360" w:lineRule="auto"/>
              <w:jc w:val="center"/>
              <w:rPr>
                <w:rFonts w:ascii="宋体" w:hAnsi="宋体" w:cs="宋体"/>
                <w:sz w:val="24"/>
              </w:rPr>
            </w:pPr>
            <w:r>
              <w:rPr>
                <w:rFonts w:hint="eastAsia" w:ascii="宋体" w:hAnsi="宋体" w:cs="宋体"/>
                <w:sz w:val="24"/>
              </w:rPr>
              <w:t>6.1</w:t>
            </w:r>
          </w:p>
        </w:tc>
        <w:tc>
          <w:tcPr>
            <w:tcW w:w="8221" w:type="dxa"/>
          </w:tcPr>
          <w:p>
            <w:pPr>
              <w:spacing w:line="360" w:lineRule="auto"/>
              <w:jc w:val="left"/>
              <w:rPr>
                <w:rFonts w:ascii="宋体" w:hAnsi="宋体"/>
                <w:sz w:val="24"/>
              </w:rPr>
            </w:pPr>
            <w:r>
              <w:rPr>
                <w:rFonts w:hint="eastAsia" w:ascii="宋体" w:hAnsi="宋体"/>
                <w:sz w:val="24"/>
              </w:rPr>
              <w:t>采用碘化铯非晶硅数字化平板探测器技术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sz w:val="24"/>
              </w:rPr>
              <w:t>6.2</w:t>
            </w:r>
          </w:p>
        </w:tc>
        <w:tc>
          <w:tcPr>
            <w:tcW w:w="8221" w:type="dxa"/>
          </w:tcPr>
          <w:p>
            <w:pPr>
              <w:spacing w:line="360" w:lineRule="auto"/>
              <w:jc w:val="left"/>
              <w:rPr>
                <w:rFonts w:ascii="宋体" w:hAnsi="宋体"/>
                <w:sz w:val="24"/>
              </w:rPr>
            </w:pPr>
            <w:r>
              <w:rPr>
                <w:rFonts w:hint="eastAsia" w:ascii="宋体" w:hAnsi="宋体"/>
                <w:sz w:val="24"/>
              </w:rPr>
              <w:t>为满足综合介入需求，要求平板为长方形平板，非正方形平板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6.3</w:t>
            </w:r>
          </w:p>
        </w:tc>
        <w:tc>
          <w:tcPr>
            <w:tcW w:w="8221" w:type="dxa"/>
          </w:tcPr>
          <w:p>
            <w:pPr>
              <w:spacing w:line="360" w:lineRule="auto"/>
              <w:jc w:val="left"/>
              <w:rPr>
                <w:rFonts w:ascii="宋体" w:hAnsi="宋体"/>
                <w:sz w:val="24"/>
              </w:rPr>
            </w:pPr>
            <w:r>
              <w:rPr>
                <w:rFonts w:hint="eastAsia" w:ascii="宋体" w:hAnsi="宋体"/>
                <w:bCs/>
                <w:snapToGrid w:val="0"/>
                <w:sz w:val="24"/>
              </w:rPr>
              <w:t>具备独立的平板探测器液态冷却系统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sz w:val="24"/>
              </w:rPr>
              <w:t>6.4</w:t>
            </w:r>
          </w:p>
        </w:tc>
        <w:tc>
          <w:tcPr>
            <w:tcW w:w="8221" w:type="dxa"/>
          </w:tcPr>
          <w:p>
            <w:pPr>
              <w:spacing w:line="360" w:lineRule="auto"/>
              <w:jc w:val="left"/>
              <w:rPr>
                <w:rFonts w:ascii="宋体" w:hAnsi="宋体"/>
                <w:sz w:val="24"/>
              </w:rPr>
            </w:pPr>
            <w:r>
              <w:rPr>
                <w:rFonts w:hint="eastAsia" w:ascii="宋体" w:hAnsi="宋体"/>
                <w:sz w:val="24"/>
              </w:rPr>
              <w:t>平板有效探测面积≥</w:t>
            </w:r>
            <w:r>
              <w:rPr>
                <w:rFonts w:ascii="宋体" w:hAnsi="宋体" w:cs="Arial"/>
                <w:sz w:val="24"/>
              </w:rPr>
              <w:t>3</w:t>
            </w:r>
            <w:r>
              <w:rPr>
                <w:rFonts w:hint="eastAsia" w:ascii="宋体" w:hAnsi="宋体" w:cs="Arial"/>
                <w:sz w:val="24"/>
              </w:rPr>
              <w:t>8</w:t>
            </w:r>
            <w:r>
              <w:rPr>
                <w:rFonts w:ascii="宋体" w:hAnsi="宋体" w:cs="Arial"/>
                <w:sz w:val="24"/>
              </w:rPr>
              <w:t>cm</w:t>
            </w:r>
            <w:r>
              <w:rPr>
                <w:rFonts w:hint="eastAsia" w:ascii="宋体" w:hAnsi="宋体" w:cs="Arial"/>
                <w:sz w:val="24"/>
              </w:rPr>
              <w:t>×</w:t>
            </w:r>
            <w:r>
              <w:rPr>
                <w:rFonts w:ascii="宋体" w:hAnsi="宋体" w:cs="Arial"/>
                <w:sz w:val="24"/>
              </w:rPr>
              <w:t>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6.5</w:t>
            </w:r>
          </w:p>
        </w:tc>
        <w:tc>
          <w:tcPr>
            <w:tcW w:w="8221" w:type="dxa"/>
          </w:tcPr>
          <w:p>
            <w:pPr>
              <w:spacing w:line="360" w:lineRule="auto"/>
              <w:jc w:val="left"/>
              <w:rPr>
                <w:rFonts w:ascii="宋体" w:hAnsi="宋体"/>
                <w:sz w:val="24"/>
              </w:rPr>
            </w:pPr>
            <w:r>
              <w:rPr>
                <w:rFonts w:hint="eastAsia" w:ascii="宋体" w:hAnsi="宋体"/>
                <w:sz w:val="24"/>
              </w:rPr>
              <w:t>平板分辨率≥3.25LP</w:t>
            </w:r>
            <w:r>
              <w:rPr>
                <w:rFonts w:hint="eastAsia" w:ascii="宋体" w:hAnsi="宋体"/>
                <w:snapToGrid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▲6.6</w:t>
            </w:r>
          </w:p>
        </w:tc>
        <w:tc>
          <w:tcPr>
            <w:tcW w:w="8221" w:type="dxa"/>
          </w:tcPr>
          <w:p>
            <w:pPr>
              <w:spacing w:line="360" w:lineRule="auto"/>
              <w:jc w:val="left"/>
              <w:rPr>
                <w:rFonts w:ascii="宋体" w:hAnsi="宋体"/>
                <w:b/>
                <w:bCs/>
                <w:sz w:val="24"/>
              </w:rPr>
            </w:pPr>
            <w:r>
              <w:rPr>
                <w:rFonts w:hint="eastAsia" w:ascii="宋体" w:hAnsi="宋体"/>
                <w:b/>
                <w:bCs/>
                <w:sz w:val="24"/>
              </w:rPr>
              <w:t>平板像素尺寸≤154</w:t>
            </w:r>
            <w:r>
              <w:rPr>
                <w:rFonts w:ascii="宋体" w:hAnsi="宋体"/>
                <w:b/>
                <w:bCs/>
                <w:sz w:val="24"/>
              </w:rPr>
              <w:t>μ</w:t>
            </w:r>
            <w:r>
              <w:rPr>
                <w:rFonts w:hint="eastAsia" w:ascii="宋体" w:hAnsi="宋体"/>
                <w:b/>
                <w:bCs/>
                <w:sz w:val="24"/>
              </w:rPr>
              <w:t>m（须提供产品彩页或技术白皮书或使用说明书或检验报告进行佐证）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6.7</w:t>
            </w:r>
          </w:p>
        </w:tc>
        <w:tc>
          <w:tcPr>
            <w:tcW w:w="8221" w:type="dxa"/>
          </w:tcPr>
          <w:p>
            <w:pPr>
              <w:spacing w:line="360" w:lineRule="auto"/>
              <w:jc w:val="left"/>
              <w:rPr>
                <w:rFonts w:ascii="宋体" w:hAnsi="宋体"/>
                <w:sz w:val="24"/>
              </w:rPr>
            </w:pPr>
            <w:r>
              <w:rPr>
                <w:rFonts w:hint="eastAsia" w:ascii="宋体" w:hAnsi="宋体"/>
                <w:sz w:val="24"/>
              </w:rPr>
              <w:t>系统采集：≥ 2480×1920矩阵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6.8</w:t>
            </w:r>
          </w:p>
        </w:tc>
        <w:tc>
          <w:tcPr>
            <w:tcW w:w="8221" w:type="dxa"/>
          </w:tcPr>
          <w:p>
            <w:pPr>
              <w:spacing w:line="360" w:lineRule="auto"/>
              <w:jc w:val="left"/>
              <w:rPr>
                <w:rFonts w:ascii="宋体" w:hAnsi="宋体"/>
                <w:sz w:val="24"/>
              </w:rPr>
            </w:pPr>
            <w:r>
              <w:rPr>
                <w:rFonts w:hint="eastAsia" w:ascii="宋体" w:hAnsi="宋体"/>
                <w:sz w:val="24"/>
              </w:rPr>
              <w:t>动态灰阶≥1</w:t>
            </w:r>
            <w:r>
              <w:rPr>
                <w:rFonts w:ascii="宋体" w:hAnsi="宋体"/>
                <w:sz w:val="24"/>
              </w:rPr>
              <w:t>6</w:t>
            </w:r>
            <w:r>
              <w:rPr>
                <w:rFonts w:hint="eastAsia" w:ascii="宋体" w:hAnsi="宋体"/>
                <w:sz w:val="24"/>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6.9</w:t>
            </w:r>
          </w:p>
        </w:tc>
        <w:tc>
          <w:tcPr>
            <w:tcW w:w="8221" w:type="dxa"/>
          </w:tcPr>
          <w:p>
            <w:pPr>
              <w:spacing w:line="360" w:lineRule="auto"/>
              <w:jc w:val="left"/>
              <w:rPr>
                <w:rFonts w:ascii="宋体" w:hAnsi="宋体"/>
                <w:sz w:val="24"/>
              </w:rPr>
            </w:pPr>
            <w:r>
              <w:rPr>
                <w:rFonts w:hint="eastAsia" w:ascii="宋体" w:hAnsi="宋体"/>
                <w:sz w:val="24"/>
              </w:rPr>
              <w:t>视野≥6视野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6.10</w:t>
            </w:r>
          </w:p>
        </w:tc>
        <w:tc>
          <w:tcPr>
            <w:tcW w:w="8221" w:type="dxa"/>
          </w:tcPr>
          <w:p>
            <w:pPr>
              <w:spacing w:line="360" w:lineRule="auto"/>
              <w:jc w:val="left"/>
              <w:rPr>
                <w:rFonts w:ascii="宋体" w:hAnsi="宋体"/>
                <w:sz w:val="24"/>
              </w:rPr>
            </w:pPr>
            <w:r>
              <w:rPr>
                <w:rFonts w:hint="eastAsia" w:ascii="宋体" w:hAnsi="宋体"/>
                <w:sz w:val="24"/>
              </w:rPr>
              <w:t>最小视野≤8 x 8cm,最小视野对角线≤11cm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6.11</w:t>
            </w:r>
          </w:p>
        </w:tc>
        <w:tc>
          <w:tcPr>
            <w:tcW w:w="8221" w:type="dxa"/>
          </w:tcPr>
          <w:p>
            <w:pPr>
              <w:spacing w:line="360" w:lineRule="auto"/>
              <w:jc w:val="left"/>
              <w:rPr>
                <w:rFonts w:ascii="宋体" w:hAnsi="宋体"/>
                <w:sz w:val="24"/>
              </w:rPr>
            </w:pPr>
            <w:r>
              <w:rPr>
                <w:rFonts w:hint="eastAsia" w:ascii="宋体" w:hAnsi="宋体"/>
                <w:sz w:val="24"/>
              </w:rPr>
              <w:t xml:space="preserve">平板带有感应式防碰撞保护装置及防碰撞自动控制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6.12</w:t>
            </w:r>
          </w:p>
        </w:tc>
        <w:tc>
          <w:tcPr>
            <w:tcW w:w="8221" w:type="dxa"/>
          </w:tcPr>
          <w:p>
            <w:pPr>
              <w:spacing w:line="360" w:lineRule="auto"/>
              <w:jc w:val="left"/>
              <w:rPr>
                <w:rFonts w:ascii="宋体" w:hAnsi="宋体"/>
                <w:sz w:val="24"/>
              </w:rPr>
            </w:pPr>
            <w:r>
              <w:rPr>
                <w:rFonts w:hint="eastAsia" w:ascii="宋体" w:hAnsi="宋体"/>
                <w:bCs/>
                <w:snapToGrid w:val="0"/>
                <w:sz w:val="24"/>
              </w:rPr>
              <w:t>平板</w:t>
            </w:r>
            <w:r>
              <w:rPr>
                <w:rFonts w:hint="eastAsia" w:ascii="宋体" w:hAnsi="宋体"/>
                <w:sz w:val="24"/>
              </w:rPr>
              <w:t>检测器光子转换效率≥</w:t>
            </w:r>
            <w:r>
              <w:rPr>
                <w:rFonts w:hint="eastAsia" w:ascii="宋体" w:hAnsi="宋体"/>
                <w:snapToGrid w:val="0"/>
                <w:sz w:val="24"/>
              </w:rPr>
              <w:t>7</w:t>
            </w:r>
            <w:r>
              <w:rPr>
                <w:rFonts w:ascii="宋体" w:hAnsi="宋体"/>
                <w:snapToGrid w:val="0"/>
                <w:sz w:val="24"/>
              </w:rPr>
              <w:t>7%</w:t>
            </w:r>
            <w:r>
              <w:rPr>
                <w:rFonts w:hint="eastAsia" w:ascii="宋体" w:hAnsi="宋体"/>
                <w:snapToGrid w:val="0"/>
                <w:sz w:val="24"/>
              </w:rPr>
              <w:t xml:space="preserve"> </w:t>
            </w:r>
            <w:r>
              <w:rPr>
                <w:rFonts w:ascii="宋体" w:hAnsi="宋体"/>
                <w:snapToGrid w:val="0"/>
                <w:sz w:val="24"/>
              </w:rPr>
              <w:t>DQE</w:t>
            </w:r>
            <w:r>
              <w:rPr>
                <w:rFonts w:hint="eastAsia" w:ascii="宋体" w:hAnsi="宋体"/>
                <w:snapToGrid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6.13</w:t>
            </w:r>
          </w:p>
        </w:tc>
        <w:tc>
          <w:tcPr>
            <w:tcW w:w="8221" w:type="dxa"/>
          </w:tcPr>
          <w:p>
            <w:pPr>
              <w:spacing w:line="360" w:lineRule="auto"/>
              <w:jc w:val="left"/>
              <w:rPr>
                <w:rFonts w:ascii="宋体" w:hAnsi="宋体"/>
                <w:bCs/>
                <w:snapToGrid w:val="0"/>
                <w:sz w:val="24"/>
              </w:rPr>
            </w:pPr>
            <w:r>
              <w:rPr>
                <w:rFonts w:hint="eastAsia" w:ascii="宋体" w:hAnsi="宋体"/>
                <w:bCs/>
                <w:snapToGrid w:val="0"/>
                <w:sz w:val="24"/>
              </w:rPr>
              <w:t>平板上具备控制机架和C</w:t>
            </w:r>
            <w:r>
              <w:rPr>
                <w:rFonts w:hint="eastAsia"/>
              </w:rPr>
              <w:t>型臂</w:t>
            </w:r>
            <w:r>
              <w:rPr>
                <w:rFonts w:hint="eastAsia" w:ascii="宋体" w:hAnsi="宋体"/>
                <w:bCs/>
                <w:snapToGrid w:val="0"/>
                <w:sz w:val="24"/>
              </w:rPr>
              <w:t>运动的开关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6.14</w:t>
            </w:r>
          </w:p>
        </w:tc>
        <w:tc>
          <w:tcPr>
            <w:tcW w:w="8221" w:type="dxa"/>
          </w:tcPr>
          <w:p>
            <w:pPr>
              <w:spacing w:line="360" w:lineRule="auto"/>
              <w:jc w:val="left"/>
              <w:rPr>
                <w:rFonts w:ascii="宋体" w:hAnsi="宋体"/>
                <w:bCs/>
                <w:snapToGrid w:val="0"/>
                <w:sz w:val="24"/>
              </w:rPr>
            </w:pPr>
            <w:r>
              <w:rPr>
                <w:rFonts w:hint="eastAsia" w:ascii="宋体" w:hAnsi="宋体"/>
                <w:bCs/>
                <w:snapToGrid w:val="0"/>
                <w:sz w:val="24"/>
              </w:rPr>
              <w:t>平板内具备可抽取滤线栅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6.15</w:t>
            </w:r>
          </w:p>
        </w:tc>
        <w:tc>
          <w:tcPr>
            <w:tcW w:w="8221" w:type="dxa"/>
          </w:tcPr>
          <w:p>
            <w:pPr>
              <w:spacing w:line="360" w:lineRule="auto"/>
              <w:jc w:val="left"/>
              <w:rPr>
                <w:rFonts w:ascii="宋体" w:hAnsi="宋体"/>
                <w:bCs/>
                <w:snapToGrid w:val="0"/>
                <w:sz w:val="24"/>
              </w:rPr>
            </w:pPr>
            <w:r>
              <w:rPr>
                <w:rFonts w:hint="eastAsia" w:ascii="宋体" w:hAnsi="宋体"/>
                <w:bCs/>
                <w:snapToGrid w:val="0"/>
                <w:sz w:val="24"/>
              </w:rPr>
              <w:t>平板四侧均有智能调节按键，保证了手术操作的便利性，平板每一侧面按键不少于3组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7</w:t>
            </w:r>
          </w:p>
        </w:tc>
        <w:tc>
          <w:tcPr>
            <w:tcW w:w="8221" w:type="dxa"/>
          </w:tcPr>
          <w:p>
            <w:pPr>
              <w:spacing w:line="360" w:lineRule="auto"/>
              <w:jc w:val="left"/>
              <w:rPr>
                <w:rFonts w:ascii="宋体" w:hAnsi="宋体" w:cs="宋体"/>
                <w:b/>
                <w:bCs/>
                <w:sz w:val="24"/>
              </w:rPr>
            </w:pPr>
            <w:r>
              <w:rPr>
                <w:rFonts w:hint="eastAsia" w:ascii="宋体" w:hAnsi="宋体" w:cs="宋体"/>
                <w:b/>
                <w:bCs/>
                <w:sz w:val="24"/>
              </w:rPr>
              <w:t>图像采集及处理系统：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7.1</w:t>
            </w:r>
          </w:p>
        </w:tc>
        <w:tc>
          <w:tcPr>
            <w:tcW w:w="8221" w:type="dxa"/>
          </w:tcPr>
          <w:p>
            <w:pPr>
              <w:spacing w:line="360" w:lineRule="auto"/>
              <w:jc w:val="left"/>
              <w:rPr>
                <w:rFonts w:ascii="宋体" w:hAnsi="宋体"/>
                <w:sz w:val="24"/>
              </w:rPr>
            </w:pPr>
            <w:r>
              <w:rPr>
                <w:rFonts w:hint="eastAsia" w:ascii="宋体" w:hAnsi="宋体"/>
                <w:sz w:val="24"/>
              </w:rPr>
              <w:t>主机配备双工作站处理系统，分别完成图像采集和后处理操作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7.2</w:t>
            </w:r>
          </w:p>
        </w:tc>
        <w:tc>
          <w:tcPr>
            <w:tcW w:w="8221" w:type="dxa"/>
          </w:tcPr>
          <w:p>
            <w:pPr>
              <w:spacing w:line="360" w:lineRule="auto"/>
              <w:jc w:val="left"/>
              <w:rPr>
                <w:rFonts w:ascii="宋体" w:hAnsi="宋体"/>
                <w:sz w:val="24"/>
              </w:rPr>
            </w:pPr>
            <w:r>
              <w:rPr>
                <w:rFonts w:hint="eastAsia" w:ascii="宋体" w:hAnsi="宋体"/>
                <w:sz w:val="24"/>
              </w:rPr>
              <w:t>标准DR模式，速率：≥0</w:t>
            </w:r>
            <w:r>
              <w:rPr>
                <w:rFonts w:ascii="宋体" w:hAnsi="宋体"/>
                <w:sz w:val="24"/>
              </w:rPr>
              <w:t>.5-7.5</w:t>
            </w:r>
            <w:r>
              <w:rPr>
                <w:rFonts w:hint="eastAsia" w:ascii="宋体" w:hAnsi="宋体"/>
                <w:sz w:val="24"/>
              </w:rPr>
              <w:t>帧</w:t>
            </w:r>
            <w:r>
              <w:rPr>
                <w:rFonts w:ascii="宋体" w:hAnsi="宋体"/>
                <w:sz w:val="24"/>
              </w:rPr>
              <w:t>/</w:t>
            </w:r>
            <w:r>
              <w:rPr>
                <w:rFonts w:hint="eastAsia" w:ascii="宋体" w:hAnsi="宋体"/>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7.3</w:t>
            </w:r>
          </w:p>
        </w:tc>
        <w:tc>
          <w:tcPr>
            <w:tcW w:w="8221" w:type="dxa"/>
          </w:tcPr>
          <w:p>
            <w:pPr>
              <w:spacing w:line="360" w:lineRule="auto"/>
              <w:jc w:val="left"/>
              <w:rPr>
                <w:rFonts w:ascii="宋体" w:hAnsi="宋体"/>
                <w:sz w:val="24"/>
              </w:rPr>
            </w:pPr>
            <w:r>
              <w:rPr>
                <w:rFonts w:hint="eastAsia" w:ascii="宋体" w:hAnsi="宋体"/>
                <w:sz w:val="24"/>
              </w:rPr>
              <w:t>标准</w:t>
            </w:r>
            <w:r>
              <w:rPr>
                <w:rFonts w:ascii="宋体" w:hAnsi="宋体"/>
                <w:sz w:val="24"/>
              </w:rPr>
              <w:t>DSA</w:t>
            </w:r>
            <w:r>
              <w:rPr>
                <w:rFonts w:hint="eastAsia" w:ascii="宋体" w:hAnsi="宋体"/>
                <w:sz w:val="24"/>
              </w:rPr>
              <w:t>模式，速率：≥0</w:t>
            </w:r>
            <w:r>
              <w:rPr>
                <w:rFonts w:ascii="宋体" w:hAnsi="宋体"/>
                <w:sz w:val="24"/>
              </w:rPr>
              <w:t>.5-7.5</w:t>
            </w:r>
            <w:r>
              <w:rPr>
                <w:rFonts w:hint="eastAsia" w:ascii="宋体" w:hAnsi="宋体"/>
                <w:sz w:val="24"/>
              </w:rPr>
              <w:t>帧</w:t>
            </w:r>
            <w:r>
              <w:rPr>
                <w:rFonts w:ascii="宋体" w:hAnsi="宋体"/>
                <w:sz w:val="24"/>
              </w:rPr>
              <w:t>/</w:t>
            </w:r>
            <w:r>
              <w:rPr>
                <w:rFonts w:hint="eastAsia" w:ascii="宋体" w:hAnsi="宋体"/>
                <w:sz w:val="24"/>
              </w:rPr>
              <w:t>秒，并具有实时DSA功能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7.4</w:t>
            </w:r>
          </w:p>
        </w:tc>
        <w:tc>
          <w:tcPr>
            <w:tcW w:w="8221" w:type="dxa"/>
          </w:tcPr>
          <w:p>
            <w:pPr>
              <w:spacing w:line="360" w:lineRule="auto"/>
              <w:jc w:val="left"/>
              <w:rPr>
                <w:rFonts w:ascii="宋体" w:hAnsi="宋体"/>
                <w:sz w:val="24"/>
              </w:rPr>
            </w:pPr>
            <w:r>
              <w:rPr>
                <w:rFonts w:hint="eastAsia" w:ascii="宋体" w:hAnsi="宋体"/>
                <w:sz w:val="24"/>
              </w:rPr>
              <w:t>数字脉冲透视0.5-30幅/秒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7.5</w:t>
            </w:r>
          </w:p>
        </w:tc>
        <w:tc>
          <w:tcPr>
            <w:tcW w:w="8221" w:type="dxa"/>
          </w:tcPr>
          <w:p>
            <w:pPr>
              <w:spacing w:line="360" w:lineRule="auto"/>
              <w:jc w:val="left"/>
              <w:rPr>
                <w:rFonts w:ascii="宋体" w:hAnsi="宋体"/>
                <w:sz w:val="24"/>
              </w:rPr>
            </w:pPr>
            <w:r>
              <w:rPr>
                <w:rFonts w:hint="eastAsia" w:ascii="宋体" w:hAnsi="宋体"/>
                <w:sz w:val="24"/>
              </w:rPr>
              <w:t>数字脉冲透视≥9档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7.6</w:t>
            </w:r>
          </w:p>
        </w:tc>
        <w:tc>
          <w:tcPr>
            <w:tcW w:w="8221" w:type="dxa"/>
          </w:tcPr>
          <w:p>
            <w:pPr>
              <w:spacing w:line="360" w:lineRule="auto"/>
              <w:jc w:val="left"/>
              <w:rPr>
                <w:rFonts w:ascii="宋体" w:hAnsi="宋体"/>
                <w:sz w:val="24"/>
              </w:rPr>
            </w:pPr>
            <w:r>
              <w:rPr>
                <w:rFonts w:hint="eastAsia" w:ascii="宋体" w:hAnsi="宋体"/>
                <w:sz w:val="24"/>
              </w:rPr>
              <w:t>透视图像存储量≥1024幅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7.7</w:t>
            </w:r>
          </w:p>
        </w:tc>
        <w:tc>
          <w:tcPr>
            <w:tcW w:w="8221" w:type="dxa"/>
          </w:tcPr>
          <w:p>
            <w:pPr>
              <w:spacing w:line="360" w:lineRule="auto"/>
              <w:jc w:val="left"/>
              <w:rPr>
                <w:rFonts w:ascii="宋体" w:hAnsi="宋体"/>
                <w:sz w:val="24"/>
              </w:rPr>
            </w:pPr>
            <w:r>
              <w:rPr>
                <w:rFonts w:hint="eastAsia" w:ascii="宋体" w:hAnsi="宋体"/>
                <w:sz w:val="24"/>
              </w:rPr>
              <w:t>最大透视图像储存时间≥68s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7.8</w:t>
            </w:r>
          </w:p>
        </w:tc>
        <w:tc>
          <w:tcPr>
            <w:tcW w:w="8221" w:type="dxa"/>
          </w:tcPr>
          <w:p>
            <w:pPr>
              <w:spacing w:line="360" w:lineRule="auto"/>
              <w:jc w:val="left"/>
              <w:rPr>
                <w:rFonts w:ascii="宋体" w:hAnsi="宋体"/>
                <w:sz w:val="24"/>
              </w:rPr>
            </w:pPr>
            <w:r>
              <w:rPr>
                <w:rFonts w:hint="eastAsia" w:ascii="宋体" w:hAnsi="宋体"/>
                <w:sz w:val="24"/>
              </w:rPr>
              <w:t>图像处理包括窗宽/窗位可调节，噪声滤过及图像边缘增强的功能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7.9</w:t>
            </w:r>
          </w:p>
        </w:tc>
        <w:tc>
          <w:tcPr>
            <w:tcW w:w="8221" w:type="dxa"/>
          </w:tcPr>
          <w:p>
            <w:pPr>
              <w:spacing w:line="360" w:lineRule="auto"/>
              <w:jc w:val="left"/>
              <w:rPr>
                <w:rFonts w:ascii="宋体" w:hAnsi="宋体"/>
                <w:sz w:val="24"/>
              </w:rPr>
            </w:pPr>
            <w:r>
              <w:rPr>
                <w:rFonts w:hint="eastAsia" w:ascii="宋体" w:hAnsi="宋体"/>
                <w:snapToGrid w:val="0"/>
                <w:sz w:val="24"/>
              </w:rPr>
              <w:t>具有实时动态范围管理功能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8</w:t>
            </w:r>
          </w:p>
        </w:tc>
        <w:tc>
          <w:tcPr>
            <w:tcW w:w="8221" w:type="dxa"/>
          </w:tcPr>
          <w:p>
            <w:pPr>
              <w:spacing w:line="360" w:lineRule="auto"/>
              <w:jc w:val="left"/>
              <w:rPr>
                <w:rFonts w:ascii="宋体" w:hAnsi="宋体" w:cs="宋体"/>
                <w:b/>
                <w:bCs/>
                <w:sz w:val="24"/>
              </w:rPr>
            </w:pPr>
            <w:r>
              <w:rPr>
                <w:rFonts w:hint="eastAsia" w:ascii="宋体" w:hAnsi="宋体" w:cs="宋体"/>
                <w:b/>
                <w:bCs/>
                <w:sz w:val="24"/>
              </w:rPr>
              <w:t>智能二维路径导航功能：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8.1</w:t>
            </w:r>
          </w:p>
        </w:tc>
        <w:tc>
          <w:tcPr>
            <w:tcW w:w="8221" w:type="dxa"/>
            <w:vAlign w:val="center"/>
          </w:tcPr>
          <w:p>
            <w:pPr>
              <w:spacing w:line="360" w:lineRule="auto"/>
              <w:jc w:val="left"/>
              <w:rPr>
                <w:rFonts w:ascii="宋体" w:hAnsi="宋体"/>
                <w:sz w:val="24"/>
              </w:rPr>
            </w:pPr>
            <w:r>
              <w:rPr>
                <w:rStyle w:val="56"/>
                <w:rFonts w:hint="eastAsia" w:ascii="宋体" w:hAnsi="宋体"/>
                <w:sz w:val="24"/>
              </w:rPr>
              <w:t>可实现传统Roadmap功能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8.2</w:t>
            </w:r>
          </w:p>
        </w:tc>
        <w:tc>
          <w:tcPr>
            <w:tcW w:w="8221" w:type="dxa"/>
            <w:vAlign w:val="center"/>
          </w:tcPr>
          <w:p>
            <w:pPr>
              <w:spacing w:line="360" w:lineRule="auto"/>
              <w:jc w:val="left"/>
              <w:rPr>
                <w:rFonts w:ascii="宋体" w:hAnsi="宋体"/>
                <w:sz w:val="24"/>
              </w:rPr>
            </w:pPr>
            <w:r>
              <w:rPr>
                <w:rStyle w:val="56"/>
                <w:rFonts w:hint="eastAsia" w:ascii="宋体" w:hAnsi="宋体"/>
                <w:sz w:val="24"/>
              </w:rPr>
              <w:t>可使用DSA采集序列中任意一副减影图像作为路径图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8.3</w:t>
            </w:r>
          </w:p>
        </w:tc>
        <w:tc>
          <w:tcPr>
            <w:tcW w:w="8221" w:type="dxa"/>
            <w:vAlign w:val="center"/>
          </w:tcPr>
          <w:p>
            <w:pPr>
              <w:spacing w:line="360" w:lineRule="auto"/>
              <w:jc w:val="left"/>
              <w:rPr>
                <w:rFonts w:ascii="宋体" w:hAnsi="宋体"/>
                <w:sz w:val="24"/>
              </w:rPr>
            </w:pPr>
            <w:r>
              <w:rPr>
                <w:rStyle w:val="56"/>
                <w:rFonts w:hint="eastAsia" w:ascii="宋体" w:hAnsi="宋体"/>
                <w:sz w:val="24"/>
              </w:rPr>
              <w:t>可使用DR采集序列中任意一副图像或任意一副透视图像作为路径图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8.4</w:t>
            </w:r>
          </w:p>
        </w:tc>
        <w:tc>
          <w:tcPr>
            <w:tcW w:w="8221" w:type="dxa"/>
            <w:vAlign w:val="center"/>
          </w:tcPr>
          <w:p>
            <w:pPr>
              <w:spacing w:line="360" w:lineRule="auto"/>
              <w:jc w:val="left"/>
              <w:rPr>
                <w:rFonts w:ascii="宋体" w:hAnsi="宋体"/>
                <w:sz w:val="24"/>
              </w:rPr>
            </w:pPr>
            <w:r>
              <w:rPr>
                <w:rFonts w:hint="eastAsia" w:ascii="宋体" w:hAnsi="宋体"/>
                <w:sz w:val="24"/>
              </w:rPr>
              <w:t>路径导航功能可用于心脏介入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8.5</w:t>
            </w:r>
          </w:p>
        </w:tc>
        <w:tc>
          <w:tcPr>
            <w:tcW w:w="8221" w:type="dxa"/>
            <w:vAlign w:val="center"/>
          </w:tcPr>
          <w:p>
            <w:pPr>
              <w:spacing w:line="360" w:lineRule="auto"/>
              <w:jc w:val="left"/>
              <w:rPr>
                <w:rFonts w:ascii="宋体" w:hAnsi="宋体"/>
                <w:sz w:val="24"/>
              </w:rPr>
            </w:pPr>
            <w:r>
              <w:rPr>
                <w:rFonts w:hint="eastAsia" w:ascii="宋体" w:hAnsi="宋体"/>
                <w:sz w:val="24"/>
              </w:rPr>
              <w:t>实时透视图像与路径图像叠加，可淡进淡出，循环显像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8.6</w:t>
            </w:r>
          </w:p>
        </w:tc>
        <w:tc>
          <w:tcPr>
            <w:tcW w:w="8221" w:type="dxa"/>
            <w:vAlign w:val="center"/>
          </w:tcPr>
          <w:p>
            <w:pPr>
              <w:spacing w:line="360" w:lineRule="auto"/>
              <w:jc w:val="left"/>
              <w:rPr>
                <w:rFonts w:ascii="宋体" w:hAnsi="宋体"/>
                <w:sz w:val="24"/>
              </w:rPr>
            </w:pPr>
            <w:r>
              <w:rPr>
                <w:rFonts w:ascii="宋体" w:hAnsi="宋体"/>
                <w:sz w:val="24"/>
              </w:rPr>
              <w:t>可对路径图中的血管影像、介入植入物（导丝导管、胶、弹簧圈等）、解剖背景的亮度进行分别的独立调节，以满足复杂介入操作引导的需要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9</w:t>
            </w:r>
          </w:p>
        </w:tc>
        <w:tc>
          <w:tcPr>
            <w:tcW w:w="8221" w:type="dxa"/>
            <w:vAlign w:val="center"/>
          </w:tcPr>
          <w:p>
            <w:pPr>
              <w:spacing w:line="360" w:lineRule="auto"/>
              <w:jc w:val="left"/>
              <w:rPr>
                <w:rFonts w:ascii="宋体" w:hAnsi="宋体" w:cs="宋体"/>
                <w:b/>
                <w:bCs/>
                <w:sz w:val="24"/>
              </w:rPr>
            </w:pPr>
            <w:r>
              <w:rPr>
                <w:rFonts w:hint="eastAsia" w:ascii="宋体" w:hAnsi="宋体" w:cs="宋体"/>
                <w:b/>
                <w:bCs/>
                <w:sz w:val="24"/>
              </w:rPr>
              <w:t>图像采集及处理及优化技术软件包：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9.1</w:t>
            </w:r>
          </w:p>
        </w:tc>
        <w:tc>
          <w:tcPr>
            <w:tcW w:w="8221" w:type="dxa"/>
            <w:vAlign w:val="center"/>
          </w:tcPr>
          <w:p>
            <w:pPr>
              <w:spacing w:line="360" w:lineRule="auto"/>
              <w:jc w:val="left"/>
              <w:rPr>
                <w:rFonts w:ascii="宋体" w:hAnsi="宋体"/>
                <w:sz w:val="24"/>
              </w:rPr>
            </w:pPr>
            <w:r>
              <w:rPr>
                <w:rFonts w:hint="eastAsia" w:ascii="宋体" w:hAnsi="宋体"/>
                <w:sz w:val="24"/>
              </w:rPr>
              <w:t>由身高、体重等参数，自动测算患者不同解剖部位体厚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9.2</w:t>
            </w:r>
          </w:p>
        </w:tc>
        <w:tc>
          <w:tcPr>
            <w:tcW w:w="8221" w:type="dxa"/>
            <w:vAlign w:val="center"/>
          </w:tcPr>
          <w:p>
            <w:pPr>
              <w:spacing w:line="360" w:lineRule="auto"/>
              <w:ind w:right="-107" w:rightChars="-51"/>
              <w:jc w:val="left"/>
              <w:rPr>
                <w:rFonts w:ascii="宋体" w:hAnsi="宋体"/>
                <w:sz w:val="24"/>
              </w:rPr>
            </w:pPr>
            <w:r>
              <w:rPr>
                <w:rFonts w:hint="eastAsia" w:ascii="宋体" w:hAnsi="宋体"/>
                <w:sz w:val="24"/>
              </w:rPr>
              <w:t>由被投造部位的解剖厚度及密度信息自动计算该部位的X线穿透性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9.3</w:t>
            </w:r>
          </w:p>
        </w:tc>
        <w:tc>
          <w:tcPr>
            <w:tcW w:w="8221" w:type="dxa"/>
            <w:vAlign w:val="center"/>
          </w:tcPr>
          <w:p>
            <w:pPr>
              <w:spacing w:line="360" w:lineRule="auto"/>
              <w:ind w:right="840" w:rightChars="400"/>
              <w:jc w:val="left"/>
              <w:rPr>
                <w:rFonts w:ascii="宋体" w:hAnsi="宋体"/>
                <w:sz w:val="24"/>
              </w:rPr>
            </w:pPr>
            <w:r>
              <w:rPr>
                <w:rFonts w:hint="eastAsia" w:ascii="宋体" w:hAnsi="宋体"/>
                <w:sz w:val="24"/>
              </w:rPr>
              <w:t>由C 型臂的角度自动计算X线穿越人体的路径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9.4</w:t>
            </w:r>
          </w:p>
        </w:tc>
        <w:tc>
          <w:tcPr>
            <w:tcW w:w="8221" w:type="dxa"/>
            <w:vAlign w:val="center"/>
          </w:tcPr>
          <w:p>
            <w:pPr>
              <w:spacing w:line="360" w:lineRule="auto"/>
              <w:ind w:right="840" w:rightChars="400"/>
              <w:jc w:val="left"/>
              <w:rPr>
                <w:rFonts w:ascii="宋体" w:hAnsi="宋体"/>
                <w:sz w:val="24"/>
              </w:rPr>
            </w:pPr>
            <w:r>
              <w:rPr>
                <w:rFonts w:hint="eastAsia" w:ascii="宋体" w:hAnsi="宋体"/>
                <w:sz w:val="24"/>
              </w:rPr>
              <w:t>动态图像优化降噪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9.5</w:t>
            </w:r>
          </w:p>
        </w:tc>
        <w:tc>
          <w:tcPr>
            <w:tcW w:w="8221" w:type="dxa"/>
            <w:vAlign w:val="center"/>
          </w:tcPr>
          <w:p>
            <w:pPr>
              <w:spacing w:line="360" w:lineRule="auto"/>
              <w:ind w:right="840" w:rightChars="400"/>
              <w:jc w:val="left"/>
              <w:rPr>
                <w:rFonts w:ascii="宋体" w:hAnsi="宋体"/>
                <w:sz w:val="24"/>
              </w:rPr>
            </w:pPr>
            <w:r>
              <w:rPr>
                <w:rFonts w:hint="eastAsia" w:ascii="宋体" w:hAnsi="宋体"/>
                <w:sz w:val="24"/>
              </w:rPr>
              <w:t xml:space="preserve">适应性边缘增强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9.6</w:t>
            </w:r>
          </w:p>
        </w:tc>
        <w:tc>
          <w:tcPr>
            <w:tcW w:w="8221" w:type="dxa"/>
            <w:vAlign w:val="center"/>
          </w:tcPr>
          <w:p>
            <w:pPr>
              <w:spacing w:line="360" w:lineRule="auto"/>
              <w:ind w:right="840" w:rightChars="400"/>
              <w:jc w:val="left"/>
              <w:rPr>
                <w:rFonts w:ascii="宋体" w:hAnsi="宋体"/>
                <w:sz w:val="24"/>
              </w:rPr>
            </w:pPr>
            <w:r>
              <w:rPr>
                <w:rFonts w:hint="eastAsia" w:ascii="宋体" w:hAnsi="宋体"/>
                <w:sz w:val="24"/>
              </w:rPr>
              <w:t>轮廓跟踪自动亮度、对比度实时调节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10</w:t>
            </w:r>
          </w:p>
        </w:tc>
        <w:tc>
          <w:tcPr>
            <w:tcW w:w="8221" w:type="dxa"/>
          </w:tcPr>
          <w:p>
            <w:pPr>
              <w:spacing w:line="360" w:lineRule="auto"/>
              <w:jc w:val="left"/>
              <w:rPr>
                <w:rFonts w:ascii="宋体" w:hAnsi="宋体" w:cs="宋体"/>
                <w:b/>
                <w:bCs/>
                <w:sz w:val="24"/>
              </w:rPr>
            </w:pPr>
            <w:r>
              <w:rPr>
                <w:rFonts w:hint="eastAsia" w:ascii="宋体" w:hAnsi="宋体" w:cs="宋体"/>
                <w:b/>
                <w:bCs/>
                <w:sz w:val="24"/>
              </w:rPr>
              <w:t>图像显示系统：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10.1</w:t>
            </w:r>
          </w:p>
        </w:tc>
        <w:tc>
          <w:tcPr>
            <w:tcW w:w="8221" w:type="dxa"/>
          </w:tcPr>
          <w:p>
            <w:pPr>
              <w:spacing w:line="360" w:lineRule="auto"/>
              <w:jc w:val="left"/>
              <w:rPr>
                <w:rFonts w:ascii="宋体" w:hAnsi="宋体"/>
                <w:sz w:val="24"/>
              </w:rPr>
            </w:pPr>
            <w:r>
              <w:rPr>
                <w:rFonts w:hint="eastAsia" w:ascii="宋体" w:hAnsi="宋体"/>
                <w:sz w:val="24"/>
              </w:rPr>
              <w:t>采用医用高分辨率TFT显视器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10.2</w:t>
            </w:r>
          </w:p>
        </w:tc>
        <w:tc>
          <w:tcPr>
            <w:tcW w:w="8221" w:type="dxa"/>
          </w:tcPr>
          <w:p>
            <w:pPr>
              <w:spacing w:line="360" w:lineRule="auto"/>
              <w:jc w:val="left"/>
              <w:rPr>
                <w:rFonts w:ascii="宋体" w:hAnsi="宋体"/>
                <w:sz w:val="24"/>
              </w:rPr>
            </w:pPr>
            <w:r>
              <w:rPr>
                <w:rFonts w:hint="eastAsia" w:ascii="宋体" w:hAnsi="宋体"/>
                <w:sz w:val="24"/>
              </w:rPr>
              <w:t>检查室两台（≥</w:t>
            </w:r>
            <w:r>
              <w:rPr>
                <w:rFonts w:ascii="宋体" w:hAnsi="宋体"/>
                <w:sz w:val="24"/>
              </w:rPr>
              <w:t>1</w:t>
            </w:r>
            <w:r>
              <w:rPr>
                <w:rFonts w:hint="eastAsia" w:ascii="宋体" w:hAnsi="宋体"/>
                <w:sz w:val="24"/>
              </w:rPr>
              <w:t>9英寸）TFT显视器，分别用于实时图像和参考图像显示：控制室一台（≥</w:t>
            </w:r>
            <w:r>
              <w:rPr>
                <w:rFonts w:ascii="宋体" w:hAnsi="宋体"/>
                <w:sz w:val="24"/>
              </w:rPr>
              <w:t>1</w:t>
            </w:r>
            <w:r>
              <w:rPr>
                <w:rFonts w:hint="eastAsia" w:ascii="宋体" w:hAnsi="宋体"/>
                <w:sz w:val="24"/>
              </w:rPr>
              <w:t>9英寸）TFT显示器，用于主机操作以及实时图像显示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10.3</w:t>
            </w:r>
          </w:p>
        </w:tc>
        <w:tc>
          <w:tcPr>
            <w:tcW w:w="8221" w:type="dxa"/>
          </w:tcPr>
          <w:p>
            <w:pPr>
              <w:spacing w:line="360" w:lineRule="auto"/>
              <w:jc w:val="left"/>
              <w:rPr>
                <w:rFonts w:ascii="宋体" w:hAnsi="宋体"/>
                <w:sz w:val="24"/>
              </w:rPr>
            </w:pPr>
            <w:r>
              <w:rPr>
                <w:rFonts w:hint="eastAsia" w:ascii="宋体" w:hAnsi="宋体"/>
                <w:bCs/>
                <w:snapToGrid w:val="0"/>
                <w:sz w:val="24"/>
              </w:rPr>
              <w:t>（</w:t>
            </w:r>
            <w:r>
              <w:rPr>
                <w:rFonts w:hint="eastAsia" w:ascii="宋体" w:hAnsi="宋体"/>
                <w:sz w:val="24"/>
              </w:rPr>
              <w:t>≥</w:t>
            </w:r>
            <w:r>
              <w:rPr>
                <w:rFonts w:ascii="宋体" w:hAnsi="宋体"/>
                <w:bCs/>
                <w:snapToGrid w:val="0"/>
                <w:sz w:val="24"/>
              </w:rPr>
              <w:t>1</w:t>
            </w:r>
            <w:r>
              <w:rPr>
                <w:rFonts w:hint="eastAsia" w:ascii="宋体" w:hAnsi="宋体"/>
                <w:bCs/>
                <w:snapToGrid w:val="0"/>
                <w:sz w:val="24"/>
              </w:rPr>
              <w:t>9英</w:t>
            </w:r>
            <w:r>
              <w:rPr>
                <w:rFonts w:hint="eastAsia" w:ascii="宋体" w:hAnsi="宋体"/>
                <w:sz w:val="24"/>
              </w:rPr>
              <w:t>寸</w:t>
            </w:r>
            <w:r>
              <w:rPr>
                <w:rFonts w:hint="eastAsia" w:ascii="宋体" w:hAnsi="宋体"/>
                <w:bCs/>
                <w:snapToGrid w:val="0"/>
                <w:sz w:val="24"/>
              </w:rPr>
              <w:t>）TFT显视器亮度≥400 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10.4</w:t>
            </w:r>
          </w:p>
        </w:tc>
        <w:tc>
          <w:tcPr>
            <w:tcW w:w="8221" w:type="dxa"/>
          </w:tcPr>
          <w:p>
            <w:pPr>
              <w:spacing w:line="360" w:lineRule="auto"/>
              <w:jc w:val="left"/>
              <w:rPr>
                <w:rFonts w:ascii="宋体" w:hAnsi="宋体"/>
                <w:bCs/>
                <w:sz w:val="24"/>
              </w:rPr>
            </w:pPr>
            <w:r>
              <w:rPr>
                <w:rFonts w:hint="eastAsia" w:ascii="宋体" w:hAnsi="宋体"/>
                <w:bCs/>
                <w:sz w:val="24"/>
              </w:rPr>
              <w:t>可视角度（水平及垂直可视角度）</w:t>
            </w:r>
            <w:r>
              <w:rPr>
                <w:rFonts w:hint="eastAsia" w:ascii="宋体" w:hAnsi="宋体"/>
                <w:sz w:val="24"/>
              </w:rPr>
              <w:t>≥</w:t>
            </w:r>
            <w:r>
              <w:rPr>
                <w:rFonts w:hint="eastAsia" w:ascii="宋体" w:hAnsi="宋体"/>
                <w:snapToGrid w:val="0"/>
                <w:sz w:val="24"/>
              </w:rPr>
              <w:t>17</w:t>
            </w:r>
            <w:r>
              <w:rPr>
                <w:rFonts w:ascii="宋体" w:hAnsi="宋体"/>
                <w:snapToGrid w:val="0"/>
                <w:sz w:val="24"/>
              </w:rPr>
              <w:t>8</w:t>
            </w:r>
            <w:r>
              <w:rPr>
                <w:rFonts w:hint="eastAsia" w:ascii="宋体" w:hAnsi="宋体"/>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10.5</w:t>
            </w:r>
          </w:p>
        </w:tc>
        <w:tc>
          <w:tcPr>
            <w:tcW w:w="8221" w:type="dxa"/>
          </w:tcPr>
          <w:p>
            <w:pPr>
              <w:spacing w:line="360" w:lineRule="auto"/>
              <w:jc w:val="left"/>
              <w:rPr>
                <w:rFonts w:ascii="宋体" w:hAnsi="宋体"/>
                <w:bCs/>
                <w:sz w:val="24"/>
              </w:rPr>
            </w:pPr>
            <w:r>
              <w:rPr>
                <w:rFonts w:hint="eastAsia" w:ascii="宋体" w:hAnsi="宋体"/>
                <w:snapToGrid w:val="0"/>
                <w:sz w:val="24"/>
              </w:rPr>
              <w:t>显视器分辨率</w:t>
            </w:r>
            <w:r>
              <w:rPr>
                <w:rFonts w:hint="eastAsia" w:ascii="宋体" w:hAnsi="宋体"/>
                <w:sz w:val="24"/>
              </w:rPr>
              <w:t>≥</w:t>
            </w:r>
            <w:r>
              <w:rPr>
                <w:rFonts w:hint="eastAsia" w:ascii="宋体" w:hAnsi="宋体"/>
                <w:snapToGrid w:val="0"/>
                <w:sz w:val="24"/>
              </w:rPr>
              <w:t>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10.6</w:t>
            </w:r>
          </w:p>
        </w:tc>
        <w:tc>
          <w:tcPr>
            <w:tcW w:w="8221" w:type="dxa"/>
          </w:tcPr>
          <w:p>
            <w:pPr>
              <w:spacing w:line="360" w:lineRule="auto"/>
              <w:jc w:val="left"/>
              <w:rPr>
                <w:rFonts w:ascii="宋体" w:hAnsi="宋体"/>
                <w:sz w:val="24"/>
              </w:rPr>
            </w:pPr>
            <w:r>
              <w:rPr>
                <w:rFonts w:hint="eastAsia" w:ascii="宋体" w:hAnsi="宋体"/>
                <w:sz w:val="24"/>
              </w:rPr>
              <w:t>配有四架位监视器悬吊架</w:t>
            </w:r>
            <w:r>
              <w:rPr>
                <w:rFonts w:hint="eastAsia" w:ascii="宋体" w:hAnsi="宋体"/>
                <w:kern w:val="0"/>
                <w:sz w:val="24"/>
              </w:rPr>
              <w:t>，监视器吊架可置于床左右二侧及床尾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10.7</w:t>
            </w:r>
          </w:p>
        </w:tc>
        <w:tc>
          <w:tcPr>
            <w:tcW w:w="8221" w:type="dxa"/>
          </w:tcPr>
          <w:p>
            <w:pPr>
              <w:spacing w:line="360" w:lineRule="auto"/>
              <w:jc w:val="left"/>
              <w:rPr>
                <w:rFonts w:ascii="宋体" w:hAnsi="宋体"/>
                <w:sz w:val="24"/>
              </w:rPr>
            </w:pPr>
            <w:r>
              <w:rPr>
                <w:rFonts w:hint="eastAsia" w:ascii="宋体" w:hAnsi="宋体"/>
                <w:snapToGrid w:val="0"/>
                <w:sz w:val="24"/>
              </w:rPr>
              <w:t>监视器悬吊架可纵向及旋转运动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11</w:t>
            </w:r>
          </w:p>
        </w:tc>
        <w:tc>
          <w:tcPr>
            <w:tcW w:w="8221" w:type="dxa"/>
          </w:tcPr>
          <w:p>
            <w:pPr>
              <w:spacing w:line="360" w:lineRule="auto"/>
              <w:jc w:val="left"/>
              <w:rPr>
                <w:rFonts w:ascii="宋体" w:hAnsi="宋体" w:cs="宋体"/>
                <w:b/>
                <w:bCs/>
                <w:sz w:val="24"/>
              </w:rPr>
            </w:pPr>
            <w:r>
              <w:rPr>
                <w:rFonts w:hint="eastAsia" w:ascii="宋体" w:hAnsi="宋体" w:cs="宋体"/>
                <w:b/>
                <w:bCs/>
                <w:sz w:val="24"/>
              </w:rPr>
              <w:t>图像存储及图像分析系统：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11.1</w:t>
            </w:r>
          </w:p>
        </w:tc>
        <w:tc>
          <w:tcPr>
            <w:tcW w:w="8221" w:type="dxa"/>
          </w:tcPr>
          <w:p>
            <w:pPr>
              <w:spacing w:line="360" w:lineRule="auto"/>
              <w:jc w:val="left"/>
              <w:rPr>
                <w:rFonts w:ascii="宋体" w:hAnsi="宋体"/>
                <w:sz w:val="24"/>
              </w:rPr>
            </w:pPr>
            <w:r>
              <w:rPr>
                <w:rFonts w:hint="eastAsia" w:ascii="宋体" w:hAnsi="宋体"/>
                <w:sz w:val="24"/>
              </w:rPr>
              <w:t>主机硬盘图像存储：1024×1024矩阵，</w:t>
            </w:r>
            <w:r>
              <w:rPr>
                <w:rFonts w:hint="eastAsia" w:ascii="宋体" w:hAnsi="宋体"/>
                <w:bCs/>
                <w:snapToGrid w:val="0"/>
                <w:sz w:val="24"/>
              </w:rPr>
              <w:t>容量≥25</w:t>
            </w:r>
            <w:r>
              <w:rPr>
                <w:rFonts w:ascii="宋体" w:hAnsi="宋体"/>
                <w:bCs/>
                <w:snapToGrid w:val="0"/>
                <w:sz w:val="24"/>
              </w:rPr>
              <w:t>00</w:t>
            </w:r>
            <w:r>
              <w:rPr>
                <w:rFonts w:hint="eastAsia" w:ascii="宋体" w:hAnsi="宋体"/>
                <w:bCs/>
                <w:snapToGrid w:val="0"/>
                <w:sz w:val="24"/>
              </w:rPr>
              <w:t>0幅</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11.2</w:t>
            </w:r>
          </w:p>
        </w:tc>
        <w:tc>
          <w:tcPr>
            <w:tcW w:w="8221" w:type="dxa"/>
          </w:tcPr>
          <w:p>
            <w:pPr>
              <w:spacing w:line="360" w:lineRule="auto"/>
              <w:jc w:val="left"/>
              <w:rPr>
                <w:rFonts w:ascii="宋体" w:hAnsi="宋体"/>
                <w:sz w:val="24"/>
              </w:rPr>
            </w:pPr>
            <w:r>
              <w:rPr>
                <w:rFonts w:hint="eastAsia" w:ascii="宋体" w:hAnsi="宋体"/>
                <w:sz w:val="24"/>
              </w:rPr>
              <w:t>主机硬盘图像可存储在CD/DVD光盘上，同时CD/DVD光盘上的图像可回传至主机硬盘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11.3</w:t>
            </w:r>
          </w:p>
        </w:tc>
        <w:tc>
          <w:tcPr>
            <w:tcW w:w="8221" w:type="dxa"/>
          </w:tcPr>
          <w:p>
            <w:pPr>
              <w:spacing w:line="360" w:lineRule="auto"/>
              <w:jc w:val="left"/>
              <w:rPr>
                <w:rFonts w:ascii="宋体" w:hAnsi="宋体"/>
                <w:sz w:val="24"/>
              </w:rPr>
            </w:pPr>
            <w:r>
              <w:rPr>
                <w:rFonts w:hint="eastAsia" w:ascii="宋体" w:hAnsi="宋体"/>
                <w:sz w:val="24"/>
              </w:rPr>
              <w:t>自动回放采集序列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11.4</w:t>
            </w:r>
          </w:p>
        </w:tc>
        <w:tc>
          <w:tcPr>
            <w:tcW w:w="8221" w:type="dxa"/>
          </w:tcPr>
          <w:p>
            <w:pPr>
              <w:spacing w:line="360" w:lineRule="auto"/>
              <w:jc w:val="left"/>
              <w:rPr>
                <w:rFonts w:ascii="宋体" w:hAnsi="宋体"/>
                <w:sz w:val="24"/>
              </w:rPr>
            </w:pPr>
            <w:r>
              <w:rPr>
                <w:rFonts w:hint="eastAsia" w:ascii="宋体" w:hAnsi="宋体"/>
                <w:sz w:val="24"/>
              </w:rPr>
              <w:t>回放序列的速度及方向可调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11.5</w:t>
            </w:r>
          </w:p>
        </w:tc>
        <w:tc>
          <w:tcPr>
            <w:tcW w:w="8221" w:type="dxa"/>
          </w:tcPr>
          <w:p>
            <w:pPr>
              <w:spacing w:line="360" w:lineRule="auto"/>
              <w:jc w:val="left"/>
              <w:rPr>
                <w:rFonts w:ascii="宋体" w:hAnsi="宋体"/>
                <w:sz w:val="24"/>
              </w:rPr>
            </w:pPr>
            <w:r>
              <w:rPr>
                <w:rFonts w:hint="eastAsia" w:ascii="宋体" w:hAnsi="宋体"/>
                <w:sz w:val="24"/>
              </w:rPr>
              <w:t>可进行减影及非减影切换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11.6</w:t>
            </w:r>
          </w:p>
        </w:tc>
        <w:tc>
          <w:tcPr>
            <w:tcW w:w="8221" w:type="dxa"/>
          </w:tcPr>
          <w:p>
            <w:pPr>
              <w:spacing w:line="360" w:lineRule="auto"/>
              <w:jc w:val="left"/>
              <w:rPr>
                <w:rFonts w:ascii="宋体" w:hAnsi="宋体"/>
                <w:sz w:val="24"/>
              </w:rPr>
            </w:pPr>
            <w:r>
              <w:rPr>
                <w:rFonts w:hint="eastAsia" w:ascii="宋体" w:hAnsi="宋体"/>
                <w:sz w:val="24"/>
              </w:rPr>
              <w:t>后处理功能包括：选择路标图像、电子遮光器、边缘增强、图像反转、附加注解、选择图像、移动放大、造影图像自动窗宽、窗位调节、重定蒙片、手动自动像素移位等。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z w:val="24"/>
              </w:rPr>
            </w:pPr>
            <w:r>
              <w:rPr>
                <w:rFonts w:hint="eastAsia" w:ascii="宋体" w:hAnsi="宋体" w:cs="宋体"/>
                <w:b/>
                <w:bCs/>
                <w:sz w:val="24"/>
              </w:rPr>
              <w:t>12</w:t>
            </w:r>
          </w:p>
        </w:tc>
        <w:tc>
          <w:tcPr>
            <w:tcW w:w="8221" w:type="dxa"/>
          </w:tcPr>
          <w:p>
            <w:pPr>
              <w:spacing w:line="360" w:lineRule="auto"/>
              <w:jc w:val="left"/>
              <w:rPr>
                <w:rFonts w:ascii="宋体" w:hAnsi="宋体" w:cs="宋体"/>
                <w:b/>
                <w:bCs/>
                <w:sz w:val="24"/>
              </w:rPr>
            </w:pPr>
            <w:r>
              <w:rPr>
                <w:rFonts w:hint="eastAsia" w:ascii="宋体" w:hAnsi="宋体" w:cs="宋体"/>
                <w:b/>
                <w:bCs/>
                <w:sz w:val="24"/>
              </w:rPr>
              <w:t>实时旋转DSA：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12.1</w:t>
            </w:r>
          </w:p>
        </w:tc>
        <w:tc>
          <w:tcPr>
            <w:tcW w:w="8221" w:type="dxa"/>
          </w:tcPr>
          <w:p>
            <w:pPr>
              <w:spacing w:line="360" w:lineRule="auto"/>
              <w:jc w:val="left"/>
              <w:rPr>
                <w:rFonts w:ascii="宋体" w:hAnsi="宋体"/>
                <w:sz w:val="24"/>
              </w:rPr>
            </w:pPr>
            <w:r>
              <w:rPr>
                <w:rFonts w:ascii="宋体" w:hAnsi="宋体"/>
                <w:sz w:val="24"/>
              </w:rPr>
              <w:t>为方便神经及外周血管介入，要求机架可在头位及侧位进行旋转采集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12.2</w:t>
            </w:r>
          </w:p>
        </w:tc>
        <w:tc>
          <w:tcPr>
            <w:tcW w:w="8221" w:type="dxa"/>
          </w:tcPr>
          <w:p>
            <w:pPr>
              <w:spacing w:line="360" w:lineRule="auto"/>
              <w:jc w:val="left"/>
              <w:rPr>
                <w:rFonts w:ascii="宋体" w:hAnsi="宋体"/>
                <w:sz w:val="24"/>
              </w:rPr>
            </w:pPr>
            <w:r>
              <w:rPr>
                <w:rFonts w:ascii="宋体" w:hAnsi="宋体"/>
                <w:sz w:val="24"/>
              </w:rPr>
              <w:t>头位机架旋转采集最快速度≥60度/秒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z w:val="24"/>
              </w:rPr>
            </w:pPr>
            <w:r>
              <w:rPr>
                <w:rFonts w:hint="eastAsia" w:ascii="宋体" w:hAnsi="宋体" w:cs="宋体"/>
                <w:sz w:val="24"/>
              </w:rPr>
              <w:t>12.3</w:t>
            </w:r>
          </w:p>
        </w:tc>
        <w:tc>
          <w:tcPr>
            <w:tcW w:w="8221" w:type="dxa"/>
          </w:tcPr>
          <w:p>
            <w:pPr>
              <w:spacing w:line="360" w:lineRule="auto"/>
              <w:jc w:val="left"/>
              <w:rPr>
                <w:rFonts w:ascii="宋体" w:hAnsi="宋体"/>
                <w:sz w:val="24"/>
              </w:rPr>
            </w:pPr>
            <w:r>
              <w:rPr>
                <w:rFonts w:ascii="宋体" w:hAnsi="宋体"/>
                <w:sz w:val="24"/>
              </w:rPr>
              <w:t>侧位机架旋转采集最快速度≥60度/秒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12.4</w:t>
            </w:r>
          </w:p>
        </w:tc>
        <w:tc>
          <w:tcPr>
            <w:tcW w:w="8221" w:type="dxa"/>
          </w:tcPr>
          <w:p>
            <w:pPr>
              <w:spacing w:line="360" w:lineRule="auto"/>
              <w:jc w:val="left"/>
              <w:rPr>
                <w:rFonts w:ascii="宋体" w:hAnsi="宋体"/>
                <w:sz w:val="24"/>
              </w:rPr>
            </w:pPr>
            <w:r>
              <w:rPr>
                <w:rFonts w:ascii="宋体" w:hAnsi="宋体"/>
                <w:sz w:val="24"/>
              </w:rPr>
              <w:t>侧位机架旋转采集范围≥200度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12.5</w:t>
            </w:r>
          </w:p>
        </w:tc>
        <w:tc>
          <w:tcPr>
            <w:tcW w:w="8221" w:type="dxa"/>
          </w:tcPr>
          <w:p>
            <w:pPr>
              <w:spacing w:line="360" w:lineRule="auto"/>
              <w:jc w:val="left"/>
              <w:rPr>
                <w:rFonts w:ascii="宋体" w:hAnsi="宋体"/>
                <w:sz w:val="24"/>
              </w:rPr>
            </w:pPr>
            <w:r>
              <w:rPr>
                <w:rFonts w:ascii="宋体" w:hAnsi="宋体"/>
                <w:sz w:val="24"/>
              </w:rPr>
              <w:t>最快采集速率≥75帧/秒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12.6</w:t>
            </w:r>
          </w:p>
        </w:tc>
        <w:tc>
          <w:tcPr>
            <w:tcW w:w="8221" w:type="dxa"/>
          </w:tcPr>
          <w:p>
            <w:pPr>
              <w:spacing w:line="360" w:lineRule="auto"/>
              <w:jc w:val="left"/>
              <w:rPr>
                <w:rFonts w:ascii="宋体" w:hAnsi="宋体"/>
                <w:sz w:val="24"/>
              </w:rPr>
            </w:pPr>
            <w:r>
              <w:rPr>
                <w:rFonts w:ascii="宋体" w:hAnsi="宋体"/>
                <w:sz w:val="24"/>
              </w:rPr>
              <w:t>真正意义的动态血管实时旋转DSA，包括蒙片及充盈片两次采集过程，实时显示，无需后台减影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13</w:t>
            </w:r>
          </w:p>
        </w:tc>
        <w:tc>
          <w:tcPr>
            <w:tcW w:w="8221" w:type="dxa"/>
          </w:tcPr>
          <w:p>
            <w:pPr>
              <w:spacing w:line="360" w:lineRule="auto"/>
              <w:jc w:val="left"/>
              <w:rPr>
                <w:rFonts w:ascii="宋体" w:hAnsi="宋体" w:cs="宋体"/>
                <w:b/>
                <w:bCs/>
                <w:sz w:val="24"/>
              </w:rPr>
            </w:pPr>
            <w:r>
              <w:rPr>
                <w:rFonts w:hint="eastAsia" w:ascii="宋体" w:hAnsi="宋体" w:cs="宋体"/>
                <w:b/>
                <w:bCs/>
                <w:sz w:val="24"/>
              </w:rPr>
              <w:t>高级三维图像后处理工作站：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sz w:val="24"/>
              </w:rPr>
              <w:t>13.1</w:t>
            </w:r>
          </w:p>
        </w:tc>
        <w:tc>
          <w:tcPr>
            <w:tcW w:w="8221" w:type="dxa"/>
            <w:vAlign w:val="center"/>
          </w:tcPr>
          <w:p>
            <w:pPr>
              <w:spacing w:line="360" w:lineRule="auto"/>
              <w:jc w:val="left"/>
              <w:rPr>
                <w:rFonts w:ascii="宋体" w:hAnsi="宋体"/>
                <w:sz w:val="24"/>
              </w:rPr>
            </w:pPr>
            <w:r>
              <w:rPr>
                <w:rFonts w:ascii="宋体" w:hAnsi="宋体"/>
                <w:sz w:val="24"/>
              </w:rPr>
              <w:t>具有独立的三维重建及分析工作站</w:t>
            </w:r>
            <w:r>
              <w:rPr>
                <w:rFonts w:hint="eastAsia" w:ascii="宋体" w:hAnsi="宋体"/>
                <w:sz w:val="24"/>
              </w:rPr>
              <w:t>（原厂提供）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13.2</w:t>
            </w:r>
          </w:p>
        </w:tc>
        <w:tc>
          <w:tcPr>
            <w:tcW w:w="8221" w:type="dxa"/>
            <w:vAlign w:val="center"/>
          </w:tcPr>
          <w:p>
            <w:pPr>
              <w:spacing w:line="360" w:lineRule="auto"/>
              <w:jc w:val="left"/>
              <w:rPr>
                <w:rFonts w:ascii="宋体" w:hAnsi="宋体"/>
                <w:sz w:val="24"/>
              </w:rPr>
            </w:pPr>
            <w:r>
              <w:rPr>
                <w:rFonts w:hint="eastAsia" w:ascii="宋体" w:hAnsi="宋体"/>
                <w:sz w:val="24"/>
              </w:rPr>
              <w:t>Intel® Xeon, 3.</w:t>
            </w:r>
            <w:r>
              <w:rPr>
                <w:rFonts w:ascii="宋体" w:hAnsi="宋体"/>
                <w:sz w:val="24"/>
              </w:rPr>
              <w:t>6</w:t>
            </w:r>
            <w:r>
              <w:rPr>
                <w:rFonts w:hint="eastAsia" w:ascii="宋体" w:hAnsi="宋体"/>
                <w:sz w:val="24"/>
              </w:rPr>
              <w:t>GHz以上CPU，六核或优于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13.3</w:t>
            </w:r>
          </w:p>
        </w:tc>
        <w:tc>
          <w:tcPr>
            <w:tcW w:w="8221" w:type="dxa"/>
            <w:vAlign w:val="center"/>
          </w:tcPr>
          <w:p>
            <w:pPr>
              <w:spacing w:line="360" w:lineRule="auto"/>
              <w:jc w:val="left"/>
              <w:rPr>
                <w:rFonts w:ascii="宋体" w:hAnsi="宋体"/>
                <w:sz w:val="24"/>
              </w:rPr>
            </w:pPr>
            <w:r>
              <w:rPr>
                <w:rFonts w:hint="eastAsia" w:ascii="宋体" w:hAnsi="宋体"/>
                <w:sz w:val="24"/>
              </w:rPr>
              <w:t xml:space="preserve">RAM：≥ </w:t>
            </w:r>
            <w:r>
              <w:rPr>
                <w:rFonts w:ascii="宋体" w:hAnsi="宋体"/>
                <w:sz w:val="24"/>
              </w:rPr>
              <w:t>64</w:t>
            </w:r>
            <w:r>
              <w:rPr>
                <w:rFonts w:hint="eastAsia" w:ascii="宋体" w:hAnsi="宋体"/>
                <w:sz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13.4</w:t>
            </w:r>
          </w:p>
        </w:tc>
        <w:tc>
          <w:tcPr>
            <w:tcW w:w="8221" w:type="dxa"/>
            <w:vAlign w:val="center"/>
          </w:tcPr>
          <w:p>
            <w:pPr>
              <w:spacing w:line="360" w:lineRule="auto"/>
              <w:jc w:val="left"/>
              <w:rPr>
                <w:rFonts w:ascii="宋体" w:hAnsi="宋体"/>
                <w:sz w:val="24"/>
              </w:rPr>
            </w:pPr>
            <w:r>
              <w:rPr>
                <w:rFonts w:ascii="宋体" w:hAnsi="宋体"/>
                <w:sz w:val="24"/>
              </w:rPr>
              <w:t>图像硬盘容量：≥ 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13.5</w:t>
            </w:r>
          </w:p>
        </w:tc>
        <w:tc>
          <w:tcPr>
            <w:tcW w:w="8221" w:type="dxa"/>
            <w:vAlign w:val="center"/>
          </w:tcPr>
          <w:p>
            <w:pPr>
              <w:spacing w:line="360" w:lineRule="auto"/>
              <w:jc w:val="left"/>
              <w:rPr>
                <w:rFonts w:ascii="宋体" w:hAnsi="宋体"/>
                <w:sz w:val="24"/>
              </w:rPr>
            </w:pPr>
            <w:r>
              <w:rPr>
                <w:rFonts w:ascii="宋体" w:hAnsi="宋体"/>
                <w:sz w:val="24"/>
              </w:rPr>
              <w:t>可进行图像后处理，包括图像全幅和局部放大，多幅图像显示，图像边缘增强、边缘平滑，图像正负像切换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13.6</w:t>
            </w:r>
          </w:p>
        </w:tc>
        <w:tc>
          <w:tcPr>
            <w:tcW w:w="8221" w:type="dxa"/>
            <w:vAlign w:val="center"/>
          </w:tcPr>
          <w:p>
            <w:pPr>
              <w:spacing w:line="360" w:lineRule="auto"/>
              <w:jc w:val="left"/>
              <w:rPr>
                <w:rFonts w:ascii="宋体" w:hAnsi="宋体"/>
                <w:sz w:val="24"/>
              </w:rPr>
            </w:pPr>
            <w:r>
              <w:rPr>
                <w:rFonts w:ascii="宋体" w:hAnsi="宋体"/>
                <w:sz w:val="24"/>
              </w:rPr>
              <w:t>配备全兼容性的CD/DVD刻录系统，可制作标准血管造影光盘，输出及叠加单幅图像，可用AVI文件输出完整图像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13.7</w:t>
            </w:r>
          </w:p>
        </w:tc>
        <w:tc>
          <w:tcPr>
            <w:tcW w:w="8221" w:type="dxa"/>
            <w:vAlign w:val="center"/>
          </w:tcPr>
          <w:p>
            <w:pPr>
              <w:spacing w:line="360" w:lineRule="auto"/>
              <w:jc w:val="left"/>
              <w:rPr>
                <w:rFonts w:ascii="宋体" w:hAnsi="宋体"/>
                <w:sz w:val="24"/>
              </w:rPr>
            </w:pPr>
            <w:r>
              <w:rPr>
                <w:rFonts w:ascii="宋体" w:hAnsi="宋体"/>
                <w:sz w:val="24"/>
              </w:rPr>
              <w:t>光盘刻录数据可随时回传至主机，并进行后处理、分析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13.8</w:t>
            </w:r>
          </w:p>
        </w:tc>
        <w:tc>
          <w:tcPr>
            <w:tcW w:w="8221" w:type="dxa"/>
            <w:vAlign w:val="center"/>
          </w:tcPr>
          <w:p>
            <w:pPr>
              <w:spacing w:line="360" w:lineRule="auto"/>
              <w:jc w:val="left"/>
              <w:rPr>
                <w:rFonts w:ascii="宋体" w:hAnsi="宋体"/>
                <w:sz w:val="24"/>
              </w:rPr>
            </w:pPr>
            <w:r>
              <w:rPr>
                <w:rFonts w:ascii="宋体" w:hAnsi="宋体"/>
                <w:sz w:val="24"/>
              </w:rPr>
              <w:t>控制室：≥19英</w:t>
            </w:r>
            <w:r>
              <w:rPr>
                <w:rFonts w:hint="eastAsia" w:ascii="宋体" w:hAnsi="宋体"/>
                <w:sz w:val="24"/>
              </w:rPr>
              <w:t>寸</w:t>
            </w:r>
            <w:r>
              <w:rPr>
                <w:rFonts w:ascii="宋体" w:hAnsi="宋体"/>
                <w:sz w:val="24"/>
              </w:rPr>
              <w:t>高分辨率LCD彩色监视器一台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13.9</w:t>
            </w:r>
          </w:p>
        </w:tc>
        <w:tc>
          <w:tcPr>
            <w:tcW w:w="8221" w:type="dxa"/>
            <w:vAlign w:val="center"/>
          </w:tcPr>
          <w:p>
            <w:pPr>
              <w:spacing w:line="360" w:lineRule="auto"/>
              <w:jc w:val="left"/>
              <w:rPr>
                <w:rFonts w:ascii="宋体" w:hAnsi="宋体"/>
                <w:sz w:val="24"/>
              </w:rPr>
            </w:pPr>
            <w:r>
              <w:rPr>
                <w:rFonts w:ascii="宋体" w:hAnsi="宋体"/>
                <w:sz w:val="24"/>
              </w:rPr>
              <w:t>可完成全身各部位（包括神经，胸腹，四肢）三维图像的重建、后处理、显示和归档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13.10</w:t>
            </w:r>
          </w:p>
        </w:tc>
        <w:tc>
          <w:tcPr>
            <w:tcW w:w="8221" w:type="dxa"/>
            <w:vAlign w:val="center"/>
          </w:tcPr>
          <w:p>
            <w:pPr>
              <w:spacing w:line="360" w:lineRule="auto"/>
              <w:jc w:val="left"/>
              <w:rPr>
                <w:rFonts w:ascii="宋体" w:hAnsi="宋体"/>
                <w:sz w:val="24"/>
              </w:rPr>
            </w:pPr>
            <w:r>
              <w:rPr>
                <w:rFonts w:ascii="宋体" w:hAnsi="宋体"/>
                <w:sz w:val="24"/>
              </w:rPr>
              <w:t>最短重建时间： ≤ 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13.11</w:t>
            </w:r>
          </w:p>
        </w:tc>
        <w:tc>
          <w:tcPr>
            <w:tcW w:w="8221" w:type="dxa"/>
            <w:vAlign w:val="center"/>
          </w:tcPr>
          <w:p>
            <w:pPr>
              <w:spacing w:line="360" w:lineRule="auto"/>
              <w:jc w:val="left"/>
              <w:rPr>
                <w:rFonts w:ascii="宋体" w:hAnsi="宋体"/>
                <w:sz w:val="24"/>
              </w:rPr>
            </w:pPr>
            <w:r>
              <w:rPr>
                <w:rFonts w:ascii="宋体" w:hAnsi="宋体"/>
                <w:sz w:val="24"/>
              </w:rPr>
              <w:t>具有快速二维和多平面显示、回放，三维处理：3D血管表面重建（MPR）、最大密度投影重建（MIP）、3D容积重建（VRT）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napToGrid w:val="0"/>
                <w:sz w:val="24"/>
              </w:rPr>
            </w:pPr>
            <w:r>
              <w:rPr>
                <w:rFonts w:hint="eastAsia" w:ascii="宋体" w:hAnsi="宋体" w:cs="宋体"/>
                <w:b/>
                <w:bCs/>
                <w:snapToGrid w:val="0"/>
                <w:sz w:val="24"/>
              </w:rPr>
              <w:t>14</w:t>
            </w:r>
          </w:p>
        </w:tc>
        <w:tc>
          <w:tcPr>
            <w:tcW w:w="8221" w:type="dxa"/>
          </w:tcPr>
          <w:p>
            <w:pPr>
              <w:spacing w:line="360" w:lineRule="auto"/>
              <w:rPr>
                <w:rFonts w:ascii="宋体" w:hAnsi="宋体" w:cs="宋体"/>
                <w:b/>
                <w:bCs/>
                <w:sz w:val="24"/>
              </w:rPr>
            </w:pPr>
            <w:r>
              <w:rPr>
                <w:rFonts w:hint="eastAsia" w:ascii="宋体" w:hAnsi="宋体" w:cs="宋体"/>
                <w:b/>
                <w:bCs/>
                <w:sz w:val="24"/>
              </w:rPr>
              <w:t>三维血管路图导航功能：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14.1</w:t>
            </w:r>
          </w:p>
        </w:tc>
        <w:tc>
          <w:tcPr>
            <w:tcW w:w="8221" w:type="dxa"/>
          </w:tcPr>
          <w:p>
            <w:pPr>
              <w:spacing w:line="360" w:lineRule="auto"/>
              <w:jc w:val="left"/>
              <w:rPr>
                <w:rFonts w:ascii="宋体" w:hAnsi="宋体"/>
                <w:sz w:val="24"/>
              </w:rPr>
            </w:pPr>
            <w:r>
              <w:rPr>
                <w:rFonts w:hint="eastAsia" w:ascii="宋体" w:hAnsi="宋体"/>
                <w:sz w:val="24"/>
              </w:rPr>
              <w:t>三维血管路图导航功能，可将三维血管路图与实时的二维透视图像叠加，在检查室床旁实时显示导管、导丝、弹簧圈在三维图像中的走行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14.2</w:t>
            </w:r>
          </w:p>
        </w:tc>
        <w:tc>
          <w:tcPr>
            <w:tcW w:w="8221" w:type="dxa"/>
          </w:tcPr>
          <w:p>
            <w:pPr>
              <w:spacing w:line="360" w:lineRule="auto"/>
              <w:jc w:val="left"/>
              <w:rPr>
                <w:rFonts w:ascii="宋体" w:hAnsi="宋体"/>
                <w:sz w:val="24"/>
              </w:rPr>
            </w:pPr>
            <w:r>
              <w:rPr>
                <w:rFonts w:ascii="宋体" w:hAnsi="宋体"/>
                <w:sz w:val="24"/>
              </w:rPr>
              <w:t>三维路图</w:t>
            </w:r>
            <w:r>
              <w:rPr>
                <w:rFonts w:hint="eastAsia" w:ascii="宋体" w:hAnsi="宋体"/>
                <w:sz w:val="24"/>
              </w:rPr>
              <w:t>能够</w:t>
            </w:r>
            <w:r>
              <w:rPr>
                <w:rFonts w:ascii="宋体" w:hAnsi="宋体"/>
                <w:sz w:val="24"/>
              </w:rPr>
              <w:t>自动追踪C臂角度</w:t>
            </w:r>
            <w:r>
              <w:rPr>
                <w:rFonts w:hint="eastAsia" w:ascii="宋体" w:hAnsi="宋体"/>
                <w:sz w:val="24"/>
              </w:rPr>
              <w:t>、检查</w:t>
            </w:r>
            <w:r>
              <w:rPr>
                <w:rFonts w:ascii="宋体" w:hAnsi="宋体"/>
                <w:sz w:val="24"/>
              </w:rPr>
              <w:t>床面</w:t>
            </w:r>
            <w:r>
              <w:rPr>
                <w:rFonts w:hint="eastAsia" w:ascii="宋体" w:hAnsi="宋体"/>
                <w:sz w:val="24"/>
              </w:rPr>
              <w:t>即解剖投照位置、投照野大小、</w:t>
            </w:r>
            <w:r>
              <w:rPr>
                <w:rFonts w:ascii="宋体" w:hAnsi="宋体"/>
                <w:sz w:val="24"/>
              </w:rPr>
              <w:t>SID</w:t>
            </w:r>
            <w:r>
              <w:rPr>
                <w:rFonts w:hint="eastAsia" w:ascii="宋体" w:hAnsi="宋体"/>
                <w:sz w:val="24"/>
              </w:rPr>
              <w:t>位置</w:t>
            </w:r>
            <w:r>
              <w:rPr>
                <w:rFonts w:ascii="宋体" w:hAnsi="宋体"/>
                <w:sz w:val="24"/>
              </w:rPr>
              <w:t>变化</w:t>
            </w:r>
            <w:r>
              <w:rPr>
                <w:rFonts w:hint="eastAsia" w:ascii="宋体" w:hAnsi="宋体"/>
                <w:sz w:val="24"/>
              </w:rPr>
              <w:t>，提高治疗准确性，安全性及工作流程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b/>
                <w:bCs/>
                <w:snapToGrid w:val="0"/>
                <w:sz w:val="24"/>
              </w:rPr>
            </w:pPr>
            <w:r>
              <w:rPr>
                <w:rFonts w:hint="eastAsia" w:ascii="宋体" w:hAnsi="宋体" w:cs="宋体"/>
                <w:b/>
                <w:bCs/>
                <w:snapToGrid w:val="0"/>
                <w:sz w:val="24"/>
              </w:rPr>
              <w:t>15</w:t>
            </w:r>
          </w:p>
        </w:tc>
        <w:tc>
          <w:tcPr>
            <w:tcW w:w="8221" w:type="dxa"/>
            <w:vAlign w:val="center"/>
          </w:tcPr>
          <w:p>
            <w:pPr>
              <w:spacing w:line="360" w:lineRule="auto"/>
              <w:rPr>
                <w:rFonts w:ascii="宋体" w:hAnsi="宋体" w:cs="宋体"/>
                <w:b/>
                <w:bCs/>
                <w:sz w:val="24"/>
              </w:rPr>
            </w:pPr>
            <w:r>
              <w:rPr>
                <w:rFonts w:hint="eastAsia" w:ascii="宋体" w:hAnsi="宋体" w:cs="宋体"/>
                <w:b/>
                <w:bCs/>
                <w:sz w:val="24"/>
              </w:rPr>
              <w:t>血管机类CT成像功能：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15.1</w:t>
            </w:r>
          </w:p>
        </w:tc>
        <w:tc>
          <w:tcPr>
            <w:tcW w:w="8221" w:type="dxa"/>
            <w:vAlign w:val="center"/>
          </w:tcPr>
          <w:p>
            <w:pPr>
              <w:spacing w:line="360" w:lineRule="auto"/>
              <w:jc w:val="left"/>
              <w:rPr>
                <w:rFonts w:ascii="宋体" w:hAnsi="宋体"/>
                <w:sz w:val="24"/>
              </w:rPr>
            </w:pPr>
            <w:r>
              <w:rPr>
                <w:rFonts w:ascii="宋体" w:hAnsi="宋体"/>
                <w:sz w:val="24"/>
              </w:rPr>
              <w:t>能完成CT断层图像重建和显示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15.2</w:t>
            </w:r>
          </w:p>
        </w:tc>
        <w:tc>
          <w:tcPr>
            <w:tcW w:w="8221" w:type="dxa"/>
            <w:vAlign w:val="center"/>
          </w:tcPr>
          <w:p>
            <w:pPr>
              <w:spacing w:line="360" w:lineRule="auto"/>
              <w:jc w:val="left"/>
              <w:rPr>
                <w:rFonts w:ascii="宋体" w:hAnsi="宋体"/>
                <w:sz w:val="24"/>
              </w:rPr>
            </w:pPr>
            <w:r>
              <w:rPr>
                <w:rFonts w:hint="eastAsia" w:ascii="宋体" w:hAnsi="宋体"/>
                <w:sz w:val="24"/>
              </w:rPr>
              <w:t>机架最快旋转速度</w:t>
            </w:r>
            <w:r>
              <w:rPr>
                <w:rFonts w:ascii="宋体" w:hAnsi="宋体"/>
                <w:sz w:val="24"/>
              </w:rPr>
              <w:t>≥</w:t>
            </w:r>
            <w:r>
              <w:rPr>
                <w:rFonts w:hint="eastAsia" w:ascii="宋体" w:hAnsi="宋体"/>
                <w:sz w:val="24"/>
              </w:rPr>
              <w:t>60</w:t>
            </w:r>
            <w:r>
              <w:rPr>
                <w:rFonts w:ascii="宋体" w:hAnsi="宋体"/>
                <w:sz w:val="24"/>
              </w:rPr>
              <w:t>度/秒，旋转角度≥200度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15.3</w:t>
            </w:r>
          </w:p>
        </w:tc>
        <w:tc>
          <w:tcPr>
            <w:tcW w:w="8221" w:type="dxa"/>
            <w:vAlign w:val="center"/>
          </w:tcPr>
          <w:p>
            <w:pPr>
              <w:spacing w:line="360" w:lineRule="auto"/>
              <w:jc w:val="left"/>
              <w:rPr>
                <w:rFonts w:ascii="宋体" w:hAnsi="宋体"/>
                <w:sz w:val="24"/>
              </w:rPr>
            </w:pPr>
            <w:r>
              <w:rPr>
                <w:rFonts w:ascii="宋体" w:hAnsi="宋体"/>
                <w:sz w:val="24"/>
              </w:rPr>
              <w:t>类CT最快扫描速率：≥75帧/秒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15.4</w:t>
            </w:r>
          </w:p>
        </w:tc>
        <w:tc>
          <w:tcPr>
            <w:tcW w:w="8221" w:type="dxa"/>
            <w:vAlign w:val="center"/>
          </w:tcPr>
          <w:p>
            <w:pPr>
              <w:spacing w:line="360" w:lineRule="auto"/>
              <w:rPr>
                <w:rFonts w:ascii="宋体" w:hAnsi="宋体"/>
                <w:sz w:val="24"/>
              </w:rPr>
            </w:pPr>
            <w:r>
              <w:rPr>
                <w:rFonts w:hint="eastAsia" w:ascii="宋体" w:hAnsi="宋体"/>
                <w:sz w:val="24"/>
              </w:rPr>
              <w:t>重建矩阵512×</w:t>
            </w:r>
            <w:r>
              <w:rPr>
                <w:rFonts w:ascii="宋体" w:hAnsi="宋体"/>
                <w:sz w:val="24"/>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15.5</w:t>
            </w:r>
          </w:p>
        </w:tc>
        <w:tc>
          <w:tcPr>
            <w:tcW w:w="8221" w:type="dxa"/>
            <w:vAlign w:val="center"/>
          </w:tcPr>
          <w:p>
            <w:pPr>
              <w:spacing w:line="360" w:lineRule="auto"/>
              <w:jc w:val="left"/>
              <w:rPr>
                <w:rFonts w:ascii="宋体" w:hAnsi="宋体"/>
                <w:sz w:val="24"/>
              </w:rPr>
            </w:pPr>
            <w:r>
              <w:rPr>
                <w:rFonts w:ascii="宋体" w:hAnsi="宋体"/>
                <w:sz w:val="24"/>
              </w:rPr>
              <w:t>最短传输及重建时间：≤60秒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15.6</w:t>
            </w:r>
          </w:p>
        </w:tc>
        <w:tc>
          <w:tcPr>
            <w:tcW w:w="8221" w:type="dxa"/>
            <w:vAlign w:val="center"/>
          </w:tcPr>
          <w:p>
            <w:pPr>
              <w:spacing w:line="360" w:lineRule="auto"/>
              <w:jc w:val="left"/>
              <w:rPr>
                <w:rFonts w:ascii="宋体" w:hAnsi="宋体"/>
                <w:sz w:val="24"/>
              </w:rPr>
            </w:pPr>
            <w:r>
              <w:rPr>
                <w:rFonts w:ascii="宋体" w:hAnsi="宋体"/>
                <w:sz w:val="24"/>
              </w:rPr>
              <w:t>密度分辨率：≤5Hu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15.7</w:t>
            </w:r>
          </w:p>
        </w:tc>
        <w:tc>
          <w:tcPr>
            <w:tcW w:w="8221" w:type="dxa"/>
            <w:vAlign w:val="center"/>
          </w:tcPr>
          <w:p>
            <w:pPr>
              <w:spacing w:line="360" w:lineRule="auto"/>
              <w:jc w:val="left"/>
              <w:rPr>
                <w:rFonts w:ascii="宋体" w:hAnsi="宋体"/>
                <w:sz w:val="24"/>
              </w:rPr>
            </w:pPr>
            <w:r>
              <w:rPr>
                <w:rFonts w:ascii="宋体" w:hAnsi="宋体"/>
                <w:sz w:val="24"/>
              </w:rPr>
              <w:t>可实现CT图像与三维血管的双容积显示，便于观察血管与软组织关系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15.8</w:t>
            </w:r>
          </w:p>
        </w:tc>
        <w:tc>
          <w:tcPr>
            <w:tcW w:w="8221" w:type="dxa"/>
            <w:vAlign w:val="center"/>
          </w:tcPr>
          <w:p>
            <w:pPr>
              <w:spacing w:line="360" w:lineRule="auto"/>
              <w:jc w:val="left"/>
              <w:rPr>
                <w:rFonts w:ascii="宋体" w:hAnsi="宋体"/>
                <w:sz w:val="24"/>
              </w:rPr>
            </w:pPr>
            <w:r>
              <w:rPr>
                <w:rFonts w:ascii="宋体" w:hAnsi="宋体"/>
                <w:sz w:val="24"/>
              </w:rPr>
              <w:t>床旁可实现对</w:t>
            </w:r>
            <w:r>
              <w:rPr>
                <w:rFonts w:hint="eastAsia" w:ascii="宋体" w:hAnsi="宋体"/>
                <w:sz w:val="24"/>
              </w:rPr>
              <w:t>血管机类CT</w:t>
            </w:r>
            <w:r>
              <w:rPr>
                <w:rFonts w:ascii="宋体" w:hAnsi="宋体"/>
                <w:sz w:val="24"/>
              </w:rPr>
              <w:t>图像</w:t>
            </w:r>
            <w:r>
              <w:rPr>
                <w:rFonts w:hint="eastAsia" w:ascii="宋体" w:hAnsi="宋体"/>
                <w:sz w:val="24"/>
              </w:rPr>
              <w:t>采集、重建及后处理等</w:t>
            </w:r>
            <w:r>
              <w:rPr>
                <w:rFonts w:ascii="宋体" w:hAnsi="宋体"/>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16</w:t>
            </w:r>
          </w:p>
        </w:tc>
        <w:tc>
          <w:tcPr>
            <w:tcW w:w="8221" w:type="dxa"/>
            <w:vAlign w:val="center"/>
          </w:tcPr>
          <w:p>
            <w:pPr>
              <w:spacing w:line="360" w:lineRule="auto"/>
              <w:jc w:val="left"/>
              <w:rPr>
                <w:rFonts w:ascii="宋体" w:hAnsi="宋体" w:cs="宋体"/>
                <w:b/>
                <w:bCs/>
                <w:sz w:val="24"/>
              </w:rPr>
            </w:pPr>
            <w:r>
              <w:rPr>
                <w:rFonts w:hint="eastAsia" w:ascii="宋体" w:hAnsi="宋体" w:cs="宋体"/>
                <w:b/>
                <w:bCs/>
                <w:sz w:val="24"/>
              </w:rPr>
              <w:t>三维/三维融合功能：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16.1</w:t>
            </w:r>
          </w:p>
        </w:tc>
        <w:tc>
          <w:tcPr>
            <w:tcW w:w="8221" w:type="dxa"/>
          </w:tcPr>
          <w:p>
            <w:pPr>
              <w:spacing w:line="360" w:lineRule="auto"/>
              <w:jc w:val="left"/>
              <w:rPr>
                <w:rFonts w:ascii="宋体" w:hAnsi="宋体"/>
                <w:sz w:val="24"/>
              </w:rPr>
            </w:pPr>
            <w:r>
              <w:rPr>
                <w:rFonts w:ascii="宋体" w:hAnsi="宋体"/>
                <w:sz w:val="24"/>
              </w:rPr>
              <w:t>血管机CT，CT, MR</w:t>
            </w:r>
            <w:r>
              <w:rPr>
                <w:rFonts w:hint="eastAsia" w:ascii="宋体" w:hAnsi="宋体"/>
                <w:sz w:val="24"/>
              </w:rPr>
              <w:t>和P</w:t>
            </w:r>
            <w:r>
              <w:rPr>
                <w:rFonts w:ascii="宋体" w:hAnsi="宋体"/>
                <w:sz w:val="24"/>
              </w:rPr>
              <w:t>ET影像均可作为融合影像，进行融合处理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16.2</w:t>
            </w:r>
          </w:p>
        </w:tc>
        <w:tc>
          <w:tcPr>
            <w:tcW w:w="8221" w:type="dxa"/>
          </w:tcPr>
          <w:p>
            <w:pPr>
              <w:spacing w:line="360" w:lineRule="auto"/>
              <w:jc w:val="left"/>
              <w:rPr>
                <w:rFonts w:ascii="宋体" w:hAnsi="宋体"/>
                <w:sz w:val="24"/>
              </w:rPr>
            </w:pPr>
            <w:r>
              <w:rPr>
                <w:rFonts w:ascii="宋体" w:hAnsi="宋体"/>
                <w:sz w:val="24"/>
              </w:rPr>
              <w:t>多个自由度的可视算法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16.3</w:t>
            </w:r>
          </w:p>
        </w:tc>
        <w:tc>
          <w:tcPr>
            <w:tcW w:w="8221" w:type="dxa"/>
          </w:tcPr>
          <w:p>
            <w:pPr>
              <w:spacing w:line="360" w:lineRule="auto"/>
              <w:jc w:val="left"/>
              <w:rPr>
                <w:rFonts w:ascii="宋体" w:hAnsi="宋体"/>
                <w:sz w:val="24"/>
              </w:rPr>
            </w:pPr>
            <w:r>
              <w:rPr>
                <w:rFonts w:ascii="宋体" w:hAnsi="宋体"/>
                <w:sz w:val="24"/>
              </w:rPr>
              <w:t>运用解剖标记，可方便地进行标记编辑进行点对点的标记配准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16.4</w:t>
            </w:r>
          </w:p>
        </w:tc>
        <w:tc>
          <w:tcPr>
            <w:tcW w:w="8221" w:type="dxa"/>
          </w:tcPr>
          <w:p>
            <w:pPr>
              <w:spacing w:line="360" w:lineRule="auto"/>
              <w:jc w:val="left"/>
              <w:rPr>
                <w:rFonts w:ascii="宋体" w:hAnsi="宋体"/>
                <w:sz w:val="24"/>
              </w:rPr>
            </w:pPr>
            <w:r>
              <w:rPr>
                <w:rFonts w:ascii="宋体" w:hAnsi="宋体"/>
                <w:sz w:val="24"/>
              </w:rPr>
              <w:t>可并列显示相关点对点的信息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16.5</w:t>
            </w:r>
          </w:p>
        </w:tc>
        <w:tc>
          <w:tcPr>
            <w:tcW w:w="8221" w:type="dxa"/>
          </w:tcPr>
          <w:p>
            <w:pPr>
              <w:spacing w:line="360" w:lineRule="auto"/>
              <w:jc w:val="left"/>
              <w:rPr>
                <w:rFonts w:ascii="宋体" w:hAnsi="宋体"/>
                <w:sz w:val="24"/>
              </w:rPr>
            </w:pPr>
            <w:r>
              <w:rPr>
                <w:rFonts w:ascii="宋体" w:hAnsi="宋体"/>
                <w:sz w:val="24"/>
              </w:rPr>
              <w:t>在不同2个显示（影像）间调级2维单色显示和伪彩显示平衡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17</w:t>
            </w:r>
          </w:p>
        </w:tc>
        <w:tc>
          <w:tcPr>
            <w:tcW w:w="8221" w:type="dxa"/>
            <w:vAlign w:val="center"/>
          </w:tcPr>
          <w:p>
            <w:pPr>
              <w:spacing w:line="360" w:lineRule="auto"/>
              <w:jc w:val="left"/>
              <w:rPr>
                <w:rFonts w:ascii="宋体" w:hAnsi="宋体" w:cs="宋体"/>
                <w:b/>
                <w:bCs/>
                <w:sz w:val="24"/>
              </w:rPr>
            </w:pPr>
            <w:r>
              <w:rPr>
                <w:rFonts w:hint="eastAsia" w:ascii="宋体" w:hAnsi="宋体" w:cs="宋体"/>
                <w:b/>
                <w:bCs/>
                <w:sz w:val="24"/>
              </w:rPr>
              <w:t>二维/三维融合功能：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17.1</w:t>
            </w:r>
          </w:p>
        </w:tc>
        <w:tc>
          <w:tcPr>
            <w:tcW w:w="8221" w:type="dxa"/>
          </w:tcPr>
          <w:p>
            <w:pPr>
              <w:spacing w:line="360" w:lineRule="auto"/>
              <w:rPr>
                <w:rFonts w:ascii="宋体" w:hAnsi="宋体"/>
                <w:sz w:val="24"/>
              </w:rPr>
            </w:pPr>
            <w:r>
              <w:rPr>
                <w:rFonts w:hint="eastAsia" w:ascii="宋体" w:hAnsi="宋体"/>
                <w:sz w:val="24"/>
              </w:rPr>
              <w:t>术前CT等三维图像可以直接和术中实时透视图像进行融合，且完成骨性标记的配准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17.2</w:t>
            </w:r>
          </w:p>
        </w:tc>
        <w:tc>
          <w:tcPr>
            <w:tcW w:w="8221" w:type="dxa"/>
          </w:tcPr>
          <w:p>
            <w:pPr>
              <w:spacing w:line="360" w:lineRule="auto"/>
              <w:rPr>
                <w:rFonts w:ascii="宋体" w:hAnsi="宋体"/>
                <w:sz w:val="24"/>
              </w:rPr>
            </w:pPr>
            <w:r>
              <w:rPr>
                <w:rFonts w:hint="eastAsia" w:ascii="宋体" w:hAnsi="宋体"/>
                <w:sz w:val="24"/>
              </w:rPr>
              <w:t>融合过程无需术中在血管机上进行三维或者其他的容积成像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18</w:t>
            </w:r>
          </w:p>
        </w:tc>
        <w:tc>
          <w:tcPr>
            <w:tcW w:w="8221" w:type="dxa"/>
          </w:tcPr>
          <w:p>
            <w:pPr>
              <w:spacing w:line="360" w:lineRule="auto"/>
              <w:jc w:val="left"/>
              <w:rPr>
                <w:rFonts w:ascii="宋体" w:hAnsi="宋体" w:cs="宋体"/>
                <w:b/>
                <w:bCs/>
                <w:sz w:val="24"/>
              </w:rPr>
            </w:pPr>
            <w:r>
              <w:rPr>
                <w:rFonts w:hint="eastAsia" w:ascii="宋体" w:hAnsi="宋体" w:cs="宋体"/>
                <w:b/>
                <w:bCs/>
                <w:sz w:val="24"/>
              </w:rPr>
              <w:t>射线剂量防护技术：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▲18.1</w:t>
            </w:r>
          </w:p>
        </w:tc>
        <w:tc>
          <w:tcPr>
            <w:tcW w:w="8221" w:type="dxa"/>
          </w:tcPr>
          <w:p>
            <w:pPr>
              <w:spacing w:line="360" w:lineRule="auto"/>
              <w:rPr>
                <w:rFonts w:ascii="宋体" w:hAnsi="宋体"/>
                <w:b/>
                <w:bCs/>
                <w:sz w:val="24"/>
              </w:rPr>
            </w:pPr>
            <w:r>
              <w:rPr>
                <w:rFonts w:ascii="宋体" w:hAnsi="宋体"/>
                <w:b/>
                <w:bCs/>
                <w:sz w:val="24"/>
              </w:rPr>
              <w:t>低剂量技术 提供IGS Dosesense平台，或Clarity平台，或CLEAR</w:t>
            </w:r>
            <w:r>
              <w:rPr>
                <w:rFonts w:hint="eastAsia" w:ascii="宋体" w:hAnsi="宋体"/>
                <w:b/>
                <w:bCs/>
                <w:sz w:val="24"/>
              </w:rPr>
              <w:t>+</w:t>
            </w:r>
            <w:r>
              <w:rPr>
                <w:rFonts w:ascii="宋体" w:hAnsi="宋体"/>
                <w:b/>
                <w:bCs/>
                <w:sz w:val="24"/>
              </w:rPr>
              <w:t>CARE平台。</w:t>
            </w:r>
            <w:r>
              <w:rPr>
                <w:rFonts w:hint="eastAsia" w:ascii="宋体" w:hAnsi="宋体"/>
                <w:b/>
                <w:bCs/>
                <w:sz w:val="24"/>
              </w:rPr>
              <w:t>（须提供产品彩页或技术白皮书或使用说明书或检验报告进行佐证）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18.2</w:t>
            </w:r>
          </w:p>
        </w:tc>
        <w:tc>
          <w:tcPr>
            <w:tcW w:w="8221" w:type="dxa"/>
          </w:tcPr>
          <w:p>
            <w:pPr>
              <w:spacing w:line="360" w:lineRule="auto"/>
              <w:rPr>
                <w:rFonts w:ascii="宋体" w:hAnsi="宋体"/>
                <w:sz w:val="24"/>
              </w:rPr>
            </w:pPr>
            <w:r>
              <w:rPr>
                <w:rFonts w:ascii="宋体" w:hAnsi="宋体"/>
                <w:sz w:val="24"/>
              </w:rPr>
              <w:t>采用铜滤片自动插入技术消除球管软射线，无需人工干预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18.3</w:t>
            </w:r>
          </w:p>
        </w:tc>
        <w:tc>
          <w:tcPr>
            <w:tcW w:w="8221" w:type="dxa"/>
          </w:tcPr>
          <w:p>
            <w:pPr>
              <w:spacing w:line="360" w:lineRule="auto"/>
              <w:rPr>
                <w:rFonts w:ascii="宋体" w:hAnsi="宋体"/>
                <w:sz w:val="24"/>
              </w:rPr>
            </w:pPr>
            <w:r>
              <w:rPr>
                <w:rFonts w:ascii="宋体" w:hAnsi="宋体"/>
                <w:sz w:val="24"/>
              </w:rPr>
              <w:t>自动插入铜滤片数≥5片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18.4</w:t>
            </w:r>
          </w:p>
        </w:tc>
        <w:tc>
          <w:tcPr>
            <w:tcW w:w="8221" w:type="dxa"/>
          </w:tcPr>
          <w:p>
            <w:pPr>
              <w:spacing w:line="360" w:lineRule="auto"/>
              <w:jc w:val="left"/>
              <w:rPr>
                <w:rFonts w:ascii="宋体" w:hAnsi="宋体"/>
                <w:sz w:val="24"/>
              </w:rPr>
            </w:pPr>
            <w:r>
              <w:rPr>
                <w:rFonts w:ascii="宋体" w:hAnsi="宋体"/>
                <w:sz w:val="24"/>
              </w:rPr>
              <w:t>透视图像存储功能：最大透视图像连续存储≥1000幅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18.5</w:t>
            </w:r>
          </w:p>
        </w:tc>
        <w:tc>
          <w:tcPr>
            <w:tcW w:w="8221" w:type="dxa"/>
          </w:tcPr>
          <w:p>
            <w:pPr>
              <w:spacing w:line="360" w:lineRule="auto"/>
              <w:jc w:val="left"/>
              <w:rPr>
                <w:rFonts w:ascii="宋体" w:hAnsi="宋体"/>
                <w:sz w:val="24"/>
              </w:rPr>
            </w:pPr>
            <w:r>
              <w:rPr>
                <w:rFonts w:ascii="宋体" w:hAnsi="宋体"/>
                <w:sz w:val="24"/>
              </w:rPr>
              <w:t>透视图像存储功能：最大透视图像连续存储时间≥68s,透视序列可以同屏多幅图像形式显示于参考屏上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18.6</w:t>
            </w:r>
          </w:p>
        </w:tc>
        <w:tc>
          <w:tcPr>
            <w:tcW w:w="8221" w:type="dxa"/>
          </w:tcPr>
          <w:p>
            <w:pPr>
              <w:spacing w:line="360" w:lineRule="auto"/>
              <w:jc w:val="left"/>
              <w:rPr>
                <w:rFonts w:ascii="宋体" w:hAnsi="宋体"/>
                <w:sz w:val="24"/>
              </w:rPr>
            </w:pPr>
            <w:r>
              <w:rPr>
                <w:rFonts w:ascii="宋体" w:hAnsi="宋体"/>
                <w:sz w:val="24"/>
              </w:rPr>
              <w:t>具有射线剂量监测功能，透视时，表面剂量率显示；透视间期，显示积累剂量，区域剂量和剂量限值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18.7</w:t>
            </w:r>
          </w:p>
        </w:tc>
        <w:tc>
          <w:tcPr>
            <w:tcW w:w="8221" w:type="dxa"/>
          </w:tcPr>
          <w:p>
            <w:pPr>
              <w:spacing w:line="360" w:lineRule="auto"/>
              <w:jc w:val="left"/>
              <w:rPr>
                <w:rFonts w:ascii="宋体" w:hAnsi="宋体"/>
                <w:sz w:val="24"/>
              </w:rPr>
            </w:pPr>
            <w:r>
              <w:rPr>
                <w:rFonts w:ascii="宋体" w:hAnsi="宋体"/>
                <w:sz w:val="24"/>
              </w:rPr>
              <w:t>具有床下防护铅帘，悬吊式防护铅屏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18.8</w:t>
            </w:r>
          </w:p>
        </w:tc>
        <w:tc>
          <w:tcPr>
            <w:tcW w:w="8221" w:type="dxa"/>
          </w:tcPr>
          <w:p>
            <w:pPr>
              <w:spacing w:line="360" w:lineRule="auto"/>
              <w:jc w:val="left"/>
              <w:rPr>
                <w:rFonts w:ascii="宋体" w:hAnsi="宋体"/>
                <w:sz w:val="24"/>
              </w:rPr>
            </w:pPr>
            <w:r>
              <w:rPr>
                <w:rFonts w:ascii="宋体" w:hAnsi="宋体"/>
                <w:sz w:val="24"/>
              </w:rPr>
              <w:t>透视末帧图像上可实现无射线调节遮光板、滤线器位置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18.9</w:t>
            </w:r>
          </w:p>
        </w:tc>
        <w:tc>
          <w:tcPr>
            <w:tcW w:w="8221" w:type="dxa"/>
          </w:tcPr>
          <w:p>
            <w:pPr>
              <w:spacing w:line="360" w:lineRule="auto"/>
              <w:rPr>
                <w:rFonts w:ascii="宋体" w:hAnsi="宋体"/>
                <w:sz w:val="24"/>
              </w:rPr>
            </w:pPr>
            <w:r>
              <w:rPr>
                <w:rFonts w:ascii="宋体" w:hAnsi="宋体"/>
                <w:sz w:val="24"/>
              </w:rPr>
              <w:t>透视末帧图像上可显示无射线病人投照视野的改变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18.10</w:t>
            </w:r>
          </w:p>
        </w:tc>
        <w:tc>
          <w:tcPr>
            <w:tcW w:w="8221" w:type="dxa"/>
          </w:tcPr>
          <w:p>
            <w:pPr>
              <w:spacing w:line="360" w:lineRule="auto"/>
              <w:rPr>
                <w:rFonts w:ascii="宋体" w:hAnsi="宋体"/>
                <w:sz w:val="24"/>
              </w:rPr>
            </w:pPr>
            <w:r>
              <w:rPr>
                <w:rFonts w:ascii="宋体" w:hAnsi="宋体"/>
                <w:sz w:val="24"/>
              </w:rPr>
              <w:t>可以提供低剂量的采集协议，并有专门低剂量曝光脚闸开关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18.11</w:t>
            </w:r>
          </w:p>
        </w:tc>
        <w:tc>
          <w:tcPr>
            <w:tcW w:w="8221" w:type="dxa"/>
          </w:tcPr>
          <w:p>
            <w:pPr>
              <w:spacing w:line="360" w:lineRule="auto"/>
              <w:rPr>
                <w:rFonts w:ascii="宋体" w:hAnsi="宋体"/>
                <w:sz w:val="24"/>
              </w:rPr>
            </w:pPr>
            <w:r>
              <w:rPr>
                <w:rFonts w:ascii="宋体" w:hAnsi="宋体"/>
                <w:sz w:val="24"/>
              </w:rPr>
              <w:t>可以提供DICOM格式的剂量报告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19</w:t>
            </w:r>
          </w:p>
        </w:tc>
        <w:tc>
          <w:tcPr>
            <w:tcW w:w="8221" w:type="dxa"/>
            <w:vAlign w:val="center"/>
          </w:tcPr>
          <w:p>
            <w:pPr>
              <w:spacing w:line="360" w:lineRule="auto"/>
              <w:jc w:val="left"/>
              <w:rPr>
                <w:rFonts w:ascii="宋体" w:hAnsi="宋体" w:cs="宋体"/>
                <w:b/>
                <w:bCs/>
                <w:sz w:val="24"/>
              </w:rPr>
            </w:pPr>
            <w:r>
              <w:rPr>
                <w:rFonts w:hint="eastAsia" w:ascii="宋体" w:hAnsi="宋体" w:cs="宋体"/>
                <w:b/>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19.1</w:t>
            </w:r>
          </w:p>
        </w:tc>
        <w:tc>
          <w:tcPr>
            <w:tcW w:w="8221" w:type="dxa"/>
          </w:tcPr>
          <w:p>
            <w:pPr>
              <w:spacing w:line="360" w:lineRule="auto"/>
              <w:rPr>
                <w:rFonts w:ascii="宋体" w:hAnsi="宋体"/>
                <w:sz w:val="24"/>
              </w:rPr>
            </w:pPr>
            <w:r>
              <w:rPr>
                <w:rFonts w:ascii="宋体" w:hAnsi="宋体"/>
                <w:sz w:val="24"/>
              </w:rPr>
              <w:t>高压注射器接口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19.2</w:t>
            </w:r>
          </w:p>
        </w:tc>
        <w:tc>
          <w:tcPr>
            <w:tcW w:w="8221" w:type="dxa"/>
          </w:tcPr>
          <w:p>
            <w:pPr>
              <w:spacing w:line="360" w:lineRule="auto"/>
              <w:rPr>
                <w:rFonts w:ascii="宋体" w:hAnsi="宋体"/>
                <w:sz w:val="24"/>
              </w:rPr>
            </w:pPr>
            <w:r>
              <w:rPr>
                <w:rFonts w:ascii="宋体" w:hAnsi="宋体"/>
                <w:sz w:val="24"/>
              </w:rPr>
              <w:t>激光相机接口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19.3</w:t>
            </w:r>
          </w:p>
        </w:tc>
        <w:tc>
          <w:tcPr>
            <w:tcW w:w="8221" w:type="dxa"/>
          </w:tcPr>
          <w:p>
            <w:pPr>
              <w:spacing w:line="360" w:lineRule="auto"/>
              <w:rPr>
                <w:rFonts w:ascii="宋体" w:hAnsi="宋体"/>
                <w:sz w:val="24"/>
              </w:rPr>
            </w:pPr>
            <w:r>
              <w:rPr>
                <w:rFonts w:ascii="宋体" w:hAnsi="宋体"/>
                <w:sz w:val="24"/>
              </w:rPr>
              <w:t xml:space="preserve">DICOM </w:t>
            </w:r>
            <w:r>
              <w:rPr>
                <w:rFonts w:hint="eastAsia" w:ascii="宋体" w:hAnsi="宋体"/>
                <w:sz w:val="24"/>
              </w:rPr>
              <w:t>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19.4</w:t>
            </w:r>
          </w:p>
        </w:tc>
        <w:tc>
          <w:tcPr>
            <w:tcW w:w="8221" w:type="dxa"/>
          </w:tcPr>
          <w:p>
            <w:pPr>
              <w:spacing w:line="360" w:lineRule="auto"/>
              <w:rPr>
                <w:rFonts w:ascii="宋体" w:hAnsi="宋体"/>
                <w:sz w:val="24"/>
              </w:rPr>
            </w:pPr>
            <w:r>
              <w:rPr>
                <w:rFonts w:ascii="宋体" w:hAnsi="宋体"/>
                <w:sz w:val="24"/>
              </w:rPr>
              <w:t xml:space="preserve">DICOM </w:t>
            </w:r>
            <w:r>
              <w:rPr>
                <w:rFonts w:hint="eastAsia" w:ascii="宋体" w:hAnsi="宋体"/>
                <w:sz w:val="24"/>
              </w:rPr>
              <w: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19.5</w:t>
            </w:r>
          </w:p>
        </w:tc>
        <w:tc>
          <w:tcPr>
            <w:tcW w:w="8221" w:type="dxa"/>
          </w:tcPr>
          <w:p>
            <w:pPr>
              <w:spacing w:line="360" w:lineRule="auto"/>
              <w:rPr>
                <w:rFonts w:ascii="宋体" w:hAnsi="宋体"/>
                <w:sz w:val="24"/>
              </w:rPr>
            </w:pPr>
            <w:r>
              <w:rPr>
                <w:rFonts w:ascii="宋体" w:hAnsi="宋体"/>
                <w:sz w:val="24"/>
              </w:rPr>
              <w:t xml:space="preserve">DICOM </w:t>
            </w:r>
            <w:r>
              <w:rPr>
                <w:rFonts w:hint="eastAsia" w:ascii="宋体" w:hAnsi="宋体"/>
                <w:sz w:val="24"/>
              </w:rPr>
              <w:t xml:space="preserve">队列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19.6</w:t>
            </w:r>
          </w:p>
        </w:tc>
        <w:tc>
          <w:tcPr>
            <w:tcW w:w="8221" w:type="dxa"/>
          </w:tcPr>
          <w:p>
            <w:pPr>
              <w:spacing w:line="360" w:lineRule="auto"/>
              <w:rPr>
                <w:rFonts w:ascii="宋体" w:hAnsi="宋体"/>
                <w:sz w:val="24"/>
              </w:rPr>
            </w:pPr>
            <w:r>
              <w:rPr>
                <w:rFonts w:ascii="宋体" w:hAnsi="宋体"/>
                <w:sz w:val="24"/>
              </w:rPr>
              <w:t>原装双向对讲通话系统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19.7</w:t>
            </w:r>
          </w:p>
        </w:tc>
        <w:tc>
          <w:tcPr>
            <w:tcW w:w="8221" w:type="dxa"/>
          </w:tcPr>
          <w:p>
            <w:pPr>
              <w:spacing w:line="360" w:lineRule="auto"/>
              <w:rPr>
                <w:rFonts w:ascii="宋体" w:hAnsi="宋体"/>
                <w:sz w:val="24"/>
              </w:rPr>
            </w:pPr>
            <w:r>
              <w:rPr>
                <w:rFonts w:ascii="宋体" w:hAnsi="宋体"/>
                <w:sz w:val="24"/>
              </w:rPr>
              <w:t>悬吊式手术灯（一个）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b/>
                <w:bCs/>
                <w:sz w:val="24"/>
              </w:rPr>
            </w:pPr>
            <w:r>
              <w:rPr>
                <w:rFonts w:hint="eastAsia" w:ascii="宋体" w:hAnsi="宋体" w:cs="宋体"/>
                <w:b/>
                <w:bCs/>
                <w:sz w:val="24"/>
              </w:rPr>
              <w:t>20</w:t>
            </w:r>
          </w:p>
        </w:tc>
        <w:tc>
          <w:tcPr>
            <w:tcW w:w="8221" w:type="dxa"/>
          </w:tcPr>
          <w:p>
            <w:pPr>
              <w:spacing w:line="360" w:lineRule="auto"/>
              <w:jc w:val="left"/>
              <w:rPr>
                <w:rFonts w:ascii="宋体" w:hAnsi="宋体" w:cs="宋体"/>
                <w:b/>
                <w:bCs/>
                <w:sz w:val="24"/>
              </w:rPr>
            </w:pPr>
            <w:r>
              <w:rPr>
                <w:rFonts w:hint="eastAsia" w:ascii="宋体" w:hAnsi="宋体" w:cs="宋体"/>
                <w:b/>
                <w:bCs/>
                <w:sz w:val="24"/>
              </w:rPr>
              <w:t>5G远程数字化系统：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20.1</w:t>
            </w:r>
          </w:p>
        </w:tc>
        <w:tc>
          <w:tcPr>
            <w:tcW w:w="8221" w:type="dxa"/>
          </w:tcPr>
          <w:p>
            <w:pPr>
              <w:spacing w:line="360" w:lineRule="auto"/>
              <w:rPr>
                <w:rFonts w:ascii="宋体" w:hAnsi="宋体"/>
                <w:sz w:val="24"/>
              </w:rPr>
            </w:pPr>
            <w:r>
              <w:rPr>
                <w:rFonts w:hint="eastAsia" w:ascii="宋体" w:hAnsi="宋体"/>
                <w:sz w:val="24"/>
              </w:rPr>
              <w:t>登录及用户管理系统，支持通过微信进行设备用户邀请，专家邀请，用户管理及权限管理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20.2</w:t>
            </w:r>
          </w:p>
        </w:tc>
        <w:tc>
          <w:tcPr>
            <w:tcW w:w="8221" w:type="dxa"/>
          </w:tcPr>
          <w:p>
            <w:pPr>
              <w:spacing w:line="360" w:lineRule="auto"/>
              <w:rPr>
                <w:rFonts w:ascii="宋体" w:hAnsi="宋体"/>
                <w:sz w:val="24"/>
              </w:rPr>
            </w:pPr>
            <w:r>
              <w:rPr>
                <w:rFonts w:hint="eastAsia" w:ascii="宋体" w:hAnsi="宋体"/>
                <w:sz w:val="24"/>
              </w:rPr>
              <w:t>实时音视频系统，支持≥</w:t>
            </w:r>
            <w:r>
              <w:rPr>
                <w:rFonts w:ascii="宋体" w:hAnsi="宋体"/>
                <w:sz w:val="24"/>
              </w:rPr>
              <w:t>2</w:t>
            </w:r>
            <w:r>
              <w:rPr>
                <w:rFonts w:hint="eastAsia" w:ascii="宋体" w:hAnsi="宋体"/>
                <w:sz w:val="24"/>
              </w:rPr>
              <w:t>方通话，通话方需具备现场技师、远程专家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20.3</w:t>
            </w:r>
          </w:p>
        </w:tc>
        <w:tc>
          <w:tcPr>
            <w:tcW w:w="8221" w:type="dxa"/>
          </w:tcPr>
          <w:p>
            <w:pPr>
              <w:spacing w:line="360" w:lineRule="auto"/>
              <w:rPr>
                <w:rFonts w:ascii="宋体" w:hAnsi="宋体"/>
                <w:sz w:val="24"/>
              </w:rPr>
            </w:pPr>
            <w:r>
              <w:rPr>
                <w:rFonts w:hint="eastAsia" w:ascii="宋体" w:hAnsi="宋体"/>
                <w:sz w:val="24"/>
              </w:rPr>
              <w:t>设备端基于隔离机制的安全远程控制,获取同品牌主台鼠标控制权，不连接设备网口，不接入医疗机构内部网络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20.4</w:t>
            </w:r>
          </w:p>
        </w:tc>
        <w:tc>
          <w:tcPr>
            <w:tcW w:w="8221" w:type="dxa"/>
          </w:tcPr>
          <w:p>
            <w:pPr>
              <w:spacing w:line="360" w:lineRule="auto"/>
              <w:rPr>
                <w:rFonts w:ascii="宋体" w:hAnsi="宋体"/>
                <w:sz w:val="24"/>
              </w:rPr>
            </w:pPr>
            <w:r>
              <w:rPr>
                <w:rFonts w:hint="eastAsia" w:ascii="宋体" w:hAnsi="宋体"/>
                <w:sz w:val="24"/>
              </w:rPr>
              <w:t>医院设备端和专家端带宽≥</w:t>
            </w:r>
            <w:r>
              <w:rPr>
                <w:rFonts w:ascii="宋体" w:hAnsi="宋体"/>
                <w:sz w:val="24"/>
              </w:rPr>
              <w:t>30Mbps</w:t>
            </w:r>
            <w:r>
              <w:rPr>
                <w:rFonts w:hint="eastAsia" w:ascii="宋体" w:hAnsi="宋体"/>
                <w:sz w:val="24"/>
              </w:rPr>
              <w:t>的情况下，实时视频延时≤</w:t>
            </w:r>
            <w:r>
              <w:rPr>
                <w:rFonts w:ascii="宋体" w:hAnsi="宋体"/>
                <w:sz w:val="24"/>
              </w:rPr>
              <w:t>300ms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0" w:type="dxa"/>
            <w:vAlign w:val="center"/>
          </w:tcPr>
          <w:p>
            <w:pPr>
              <w:jc w:val="center"/>
              <w:rPr>
                <w:rFonts w:ascii="宋体" w:hAnsi="宋体" w:cs="宋体"/>
                <w:sz w:val="24"/>
              </w:rPr>
            </w:pPr>
            <w:r>
              <w:rPr>
                <w:rFonts w:hint="eastAsia" w:ascii="宋体" w:hAnsi="宋体" w:cs="宋体"/>
                <w:sz w:val="24"/>
              </w:rPr>
              <w:t>20.5</w:t>
            </w:r>
          </w:p>
        </w:tc>
        <w:tc>
          <w:tcPr>
            <w:tcW w:w="8221" w:type="dxa"/>
          </w:tcPr>
          <w:p>
            <w:pPr>
              <w:spacing w:line="360" w:lineRule="auto"/>
              <w:rPr>
                <w:rFonts w:ascii="宋体" w:hAnsi="宋体"/>
                <w:sz w:val="24"/>
              </w:rPr>
            </w:pPr>
            <w:r>
              <w:rPr>
                <w:rFonts w:hint="eastAsia" w:ascii="宋体" w:hAnsi="宋体"/>
                <w:sz w:val="24"/>
              </w:rPr>
              <w:t>影像数据通信使用加密</w:t>
            </w:r>
          </w:p>
        </w:tc>
      </w:tr>
    </w:tbl>
    <w:p>
      <w:pPr>
        <w:pStyle w:val="47"/>
        <w:numPr>
          <w:ilvl w:val="255"/>
          <w:numId w:val="0"/>
        </w:numPr>
        <w:spacing w:before="240" w:beforeLines="100" w:after="240" w:afterLines="100"/>
        <w:ind w:firstLine="562" w:firstLineChars="200"/>
        <w:rPr>
          <w:rFonts w:ascii="宋体" w:hAnsi="宋体" w:eastAsia="宋体"/>
          <w:b/>
          <w:sz w:val="28"/>
          <w:szCs w:val="28"/>
        </w:rPr>
      </w:pPr>
    </w:p>
    <w:p>
      <w:pPr>
        <w:pStyle w:val="47"/>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其他</w:t>
      </w:r>
      <w:r>
        <w:rPr>
          <w:rFonts w:ascii="宋体" w:hAnsi="宋体" w:eastAsia="宋体"/>
          <w:b/>
          <w:sz w:val="28"/>
          <w:szCs w:val="28"/>
        </w:rPr>
        <w:t>要求</w:t>
      </w:r>
    </w:p>
    <w:p>
      <w:pPr>
        <w:spacing w:line="360" w:lineRule="auto"/>
        <w:ind w:firstLine="480" w:firstLineChars="200"/>
        <w:jc w:val="left"/>
        <w:rPr>
          <w:rFonts w:asciiTheme="minorEastAsia" w:hAnsiTheme="minorEastAsia"/>
          <w:sz w:val="24"/>
        </w:rPr>
      </w:pPr>
      <w:r>
        <w:rPr>
          <w:rFonts w:hint="eastAsia" w:ascii="宋体" w:hAnsi="宋体" w:eastAsia="宋体"/>
          <w:sz w:val="24"/>
          <w:szCs w:val="28"/>
        </w:rPr>
        <w:t>★3.1投标人所投DSA需可接入医院现有HIS/Pacs系统，提供相关配置及技术支持，所需费用包含在报价中。投标人需对此提供书面承诺。</w:t>
      </w:r>
    </w:p>
    <w:p>
      <w:pPr>
        <w:pStyle w:val="47"/>
        <w:numPr>
          <w:ilvl w:val="0"/>
          <w:numId w:val="1"/>
        </w:numPr>
        <w:spacing w:before="240" w:beforeLines="100" w:after="240" w:afterLines="100"/>
        <w:ind w:left="0" w:firstLine="0" w:firstLineChars="0"/>
        <w:rPr>
          <w:rFonts w:ascii="宋体" w:hAnsi="宋体" w:eastAsia="宋体"/>
          <w:b/>
          <w:sz w:val="28"/>
          <w:szCs w:val="28"/>
        </w:rPr>
      </w:pPr>
      <w:r>
        <w:rPr>
          <w:rFonts w:ascii="宋体" w:hAnsi="宋体" w:eastAsia="宋体"/>
          <w:b/>
          <w:sz w:val="28"/>
          <w:szCs w:val="28"/>
        </w:rPr>
        <w:t>技术响应要求</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投标人应在投标文件中列明所投货物产品的全套（主体、辅材、配件）的品牌、型号、详细配置、技术规格、主要参数、性能说明、功能介绍、具体产地、生产厂家、数量及对应的分项报价（含单价和总价）等。</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投标人应提供投标货物的质量保证说明（应符合各种货物的相关标准）、培训及售后服务承诺。</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尽可能提供所投主要货物的最新产品彩页、使用手册或技术说明书并加盖投标人公章，产品彩页、使用手册或技术说明书样本必须与所报货物保持一致，并对产品彩页、使用手册或技术说明书资料的真实性及与所报货物的符合性负责。产品彩页、使用手册或技术说明书样本与投标文件文字描述不符时，应明确以哪个为准，并说明理由或提供依据，否则自行承担不利的评审后果。</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须保证采购人在使用该货物或其任何一部分时不受到第三方关于侵犯专利权、商标权或工业设计权等知识产权的指控。如果任何第三方提出侵权指控均与采购人无关，投标人须与第三方交涉并承担可能发生的责任与一切费用。如采购人因此而遭受损失的，投标人应赔偿该损失。</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投标人提供的货物制造标准、安装标准及技术规范等必须符合国家对该类货物规定的标准（标准以有关机构发布的最新版本为准），技术参数与配置要求不低于本招标项目提供的技术参数与配置要求。</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投标设备附有原厂商印制的技术资料的，投标人应在投标文件中附上（中文版，若无中文版，应同时提供中文的翻译材料并对翻译的准确性负责）。</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本次采购的货物，投标人须保证提供的所有货物必须是未经私自拆封、改配，原厂原包装、正规合格、品质优良的产品，技术资料齐全、满足招标文件的基本要求。</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明确投标货物和采购要求存在正负偏离情况。对照招标文件要求，逐条说明所提供货物和服务已对采购人的技术规格、商务要求做出了实质性的响应，或申明与技术、商务要求条文的偏差和例外并列于《技术规格和商务偏离表》中。投标人若未对采购要求进行逐条响应，自行承担不利的评审后果。</w:t>
      </w:r>
    </w:p>
    <w:p/>
    <w:p>
      <w:pPr>
        <w:pStyle w:val="4"/>
        <w:spacing w:before="240" w:beforeLines="100" w:after="240" w:afterLines="100" w:line="240" w:lineRule="auto"/>
        <w:jc w:val="left"/>
        <w:rPr>
          <w:rFonts w:ascii="黑体" w:hAnsi="黑体" w:eastAsia="黑体" w:cs="Times New Roman"/>
          <w:kern w:val="0"/>
          <w:sz w:val="30"/>
        </w:rPr>
      </w:pPr>
      <w:bookmarkStart w:id="21" w:name="_Toc139103800"/>
      <w:r>
        <w:rPr>
          <w:rFonts w:ascii="黑体" w:hAnsi="黑体" w:eastAsia="黑体" w:cs="Times New Roman"/>
          <w:kern w:val="0"/>
          <w:sz w:val="30"/>
        </w:rPr>
        <w:t>三、商务要求</w:t>
      </w:r>
      <w:bookmarkEnd w:id="21"/>
    </w:p>
    <w:p>
      <w:pPr>
        <w:rPr>
          <w:rFonts w:asciiTheme="minorEastAsia" w:hAnsiTheme="minorEastAsia"/>
          <w:sz w:val="28"/>
          <w:szCs w:val="28"/>
        </w:rPr>
      </w:pPr>
      <w:r>
        <w:rPr>
          <w:rFonts w:asciiTheme="minorEastAsia" w:hAnsiTheme="minorEastAsia"/>
          <w:sz w:val="28"/>
          <w:szCs w:val="28"/>
        </w:rPr>
        <w:t>（以“★”标示的内容为不允许负偏离的实质性要求）</w:t>
      </w:r>
    </w:p>
    <w:p>
      <w:pPr>
        <w:spacing w:line="360" w:lineRule="auto"/>
        <w:rPr>
          <w:rFonts w:asciiTheme="minorEastAsia" w:hAnsiTheme="minorEastAsia"/>
          <w:sz w:val="24"/>
          <w:szCs w:val="28"/>
        </w:rPr>
      </w:pPr>
      <w:r>
        <w:rPr>
          <w:rFonts w:asciiTheme="minorEastAsia" w:hAnsiTheme="minorEastAsia"/>
          <w:sz w:val="24"/>
          <w:szCs w:val="28"/>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39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3989"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398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2" w:hRule="atLeast"/>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398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厦门市海沧区东孚西路99号复旦大学附属肿瘤医院厦门医院采购人指定地点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398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招标文件、投标文件、合同及有关合同附件、技术标准说明及国家有关的质量标准规定，均为验收依据。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398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不邀请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3989"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1、期次1，说明：【验收依据：招标文件、投标文件、厂家货物技术标准说明及国家有关的质量标准规定，均为验收依据。】</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2、期次2，说明：【初步验收：货物运抵采购人处后由双方共同对照采购清单及技术要求进行验收。】</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3、期次3，说明：【货物验收：中标人根据采购要求进行设备安装、调试、测试后，由采购人或政府相关部门进行使用性能方面的验收。】</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4、期次4，说明：【采购人有权委托我国相关具有检验资质的部门、单位、机构针对中标货物的精度、性能进行检验。其检验结果将作为验收标准的组成部分之一。】</w:t>
            </w:r>
          </w:p>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5、期次5，说明：【验收时中标人必须派代表参加。】</w:t>
            </w:r>
          </w:p>
          <w:p>
            <w:pPr>
              <w:spacing w:line="360" w:lineRule="auto"/>
              <w:rPr>
                <w:rFonts w:eastAsia="宋体"/>
              </w:rPr>
            </w:pPr>
            <w:r>
              <w:rPr>
                <w:rFonts w:hint="eastAsia" w:ascii="宋体" w:hAnsi="宋体" w:eastAsia="宋体" w:cs="Times New Roman"/>
                <w:kern w:val="0"/>
                <w:sz w:val="24"/>
                <w:szCs w:val="24"/>
              </w:rPr>
              <w:t>6、期次6，说明：【验收过程所发生的一切费用由中标人承担。】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3989"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1、【合同货物最终验收合格并交付使用后，采购人凭中标人开具的100%合同总价的增值税普通发票及采购人签署的《厦门市政府采购验收报告》】，达到付款条件起【7】日，支付合同总金额的【100】%。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其他</w:t>
            </w:r>
          </w:p>
        </w:tc>
        <w:tc>
          <w:tcPr>
            <w:tcW w:w="3989"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本表由于系统限制编辑，若本章其他地方内容与本表内容不一致的，以其他地方表述内容为准。</w:t>
            </w:r>
          </w:p>
        </w:tc>
      </w:tr>
    </w:tbl>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采购包1：缴纳</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本采购包履约保证金为合同金额的【3】%。</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收取时间：预留合同总价的3%作为质保期的履约保证金或中标人在验收合格后向采购人提交合同总价的3%（若中标人为中小企业的，履约保证金减半收取）。</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退还时间：经采购人确认中标人已履行合同义务，采购人无息返还中标人的履约保证金。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提交方式：支票、汇票、本票或者金融机构、担保机构出具的保函等形式，由中标人自行选择。</w:t>
      </w:r>
    </w:p>
    <w:p>
      <w:pPr>
        <w:spacing w:line="360" w:lineRule="auto"/>
        <w:ind w:firstLine="480" w:firstLineChars="200"/>
        <w:rPr>
          <w:rFonts w:asciiTheme="minorEastAsia" w:hAnsiTheme="minorEastAsia"/>
          <w:sz w:val="24"/>
          <w:szCs w:val="28"/>
        </w:rPr>
      </w:pPr>
      <w:r>
        <w:rPr>
          <w:rFonts w:hint="eastAsia" w:ascii="宋体" w:hAnsi="宋体" w:eastAsia="宋体" w:cs="Times New Roman"/>
          <w:kern w:val="0"/>
          <w:sz w:val="24"/>
          <w:szCs w:val="24"/>
        </w:rPr>
        <w:t>不予退还的情形：供应商未按合同约定承担违约责任的，采购人有权不予退还履约保证金。</w:t>
      </w:r>
    </w:p>
    <w:p>
      <w:pPr>
        <w:spacing w:line="360" w:lineRule="auto"/>
        <w:ind w:firstLine="480" w:firstLineChars="200"/>
        <w:rPr>
          <w:rFonts w:asciiTheme="minorEastAsia" w:hAnsiTheme="minorEastAsia"/>
          <w:sz w:val="24"/>
          <w:szCs w:val="28"/>
        </w:rPr>
      </w:pPr>
    </w:p>
    <w:p>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pPr>
        <w:widowControl/>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8、售后服务要求</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8.1投标人应按照本采购项目特点提供长期良好的售后服务，并在投标文件中提供详细具体的售后服务承诺条款及保证。</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8.2中标人必须负责设备安装到位，包括与该设备相关的实地勘测、装修、运输、装卸、安装、调试等费用（均包括材料和人工费）。本项目为交钥匙工程，安装完成后即可投入使用。以上所需费用包含在投标报价中。</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8.3质保期：所有设备提供至少1年质保期服务，自验收合格之日起计算，低于1年的将视为投标无效。质保期内要求设备开机率达97%以上，【开机率=（法定工作日×24小时-设备实际故障停机时间）/（法定工作日×24小时）】。质保期内，提供技术咨询与远程协助服务。设备若发生任何质量问题，均由中标人负责修复，失效零件予以更换，更换时所发生的商检、运输、清关等费用均由中标人负责。投标人应对此作出书面承诺，并详细列明质保期满后零配件的供应价格。</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8.4在质保期间出现故障，中标人应在接到采购人通知后2小时以内响应，4小时内维修人员到场，24小时内排除故障。24小时内无法排除故障的，须提供代用设备或提出经采购人同意的解决方案。</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8.5质保期满前1个月内中标人应就所有货物进行一次全面检查，并写出正式报告，如发现潜在问题，应负责排除。如出现质量问题，在质保期内对设备进行维修和零配件的更换。</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8.6质保期后技术服务内容：质保期满后，中标人仍应提供终身的售后维护服务，维修仅收取零配件费用。</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8.7中标人应提供设备相关的配套技术资料，包括操作手册（中文版）及维修保养手册等。</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8.8中标人必须承诺能长期提供良好的技术支持及备品备件的优惠供应，并列出零备件清单及价格表。</w:t>
      </w:r>
    </w:p>
    <w:p>
      <w:pPr>
        <w:spacing w:line="360" w:lineRule="auto"/>
        <w:ind w:firstLine="480" w:firstLineChars="200"/>
        <w:jc w:val="left"/>
        <w:rPr>
          <w:rFonts w:cs="宋体" w:asciiTheme="minorEastAsia" w:hAnsiTheme="minorEastAsia"/>
          <w:b/>
          <w:bCs/>
          <w:kern w:val="0"/>
          <w:sz w:val="24"/>
          <w:szCs w:val="24"/>
        </w:rPr>
      </w:pPr>
      <w:r>
        <w:rPr>
          <w:rFonts w:hint="eastAsia" w:ascii="宋体" w:hAnsi="宋体" w:eastAsia="宋体" w:cs="Times New Roman"/>
          <w:kern w:val="0"/>
          <w:sz w:val="24"/>
          <w:szCs w:val="24"/>
        </w:rPr>
        <w:t>8.9投标人认为有利于采购人的其他优惠条款应单独列明。</w:t>
      </w:r>
    </w:p>
    <w:p>
      <w:pPr>
        <w:widowControl/>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9、报价要求</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9.1本项目为整体采购，投标人投标时对本项目所有的内容必须完整响应，否则将视为投标无效。</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9.2本次招标报价应以人民币为货币单位，应分单价、小计和总价。</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9.3投标总报价为投标货物经采购人验收合格并交付使用所有可能发生的费用，包括产品安装调试、货物（含设备、配件、辅助材料）供应、运输、保险费、采购保管、货物检验检测、操作人员培训、报关、税收以及售后服务等一切费用。</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9.4投标人漏报的单价或每单价报价中漏报、少报的费用，视为此项费用已隐含在投标报价中，中标后不得再向采购人收取任何费用。</w:t>
      </w:r>
    </w:p>
    <w:p>
      <w:pPr>
        <w:spacing w:line="360" w:lineRule="auto"/>
        <w:ind w:firstLine="480" w:firstLineChars="200"/>
        <w:jc w:val="left"/>
        <w:rPr>
          <w:rFonts w:ascii="宋体" w:hAnsi="宋体" w:eastAsia="宋体" w:cs="宋体"/>
          <w:b/>
          <w:bCs/>
          <w:kern w:val="0"/>
          <w:sz w:val="24"/>
          <w:szCs w:val="24"/>
        </w:rPr>
      </w:pPr>
      <w:r>
        <w:rPr>
          <w:rFonts w:hint="eastAsia" w:ascii="宋体" w:hAnsi="宋体" w:eastAsia="宋体" w:cs="Times New Roman"/>
          <w:kern w:val="0"/>
          <w:sz w:val="24"/>
          <w:szCs w:val="24"/>
        </w:rPr>
        <w:t>9.5投标人对一种货物只能有一个报价，采购单位不接受有选择的报价。</w:t>
      </w:r>
    </w:p>
    <w:p>
      <w:pPr>
        <w:widowControl/>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9.6因系统不支持分项报价，投标人应根据本项目实际情况编辑投标分项报价表，在客户端系统中的“价格扣除优惠政策”模块上传完整的《投标文件报价部分》，未按要求提交完整的《投标文件报价部分》，由此产生的不利后果由投标人自行承担。</w:t>
      </w:r>
    </w:p>
    <w:p>
      <w:pPr>
        <w:widowControl/>
        <w:spacing w:line="360" w:lineRule="auto"/>
        <w:ind w:firstLine="482" w:firstLineChars="200"/>
        <w:jc w:val="left"/>
        <w:rPr>
          <w:rFonts w:ascii="宋体" w:hAnsi="宋体" w:eastAsia="宋体" w:cs="宋体"/>
          <w:b/>
          <w:bCs/>
          <w:kern w:val="0"/>
          <w:sz w:val="24"/>
          <w:szCs w:val="24"/>
        </w:rPr>
      </w:pPr>
    </w:p>
    <w:p>
      <w:pPr>
        <w:widowControl/>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10、商务条件响应要求</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10.1投标人可提供厦门本地化质保服务。投标人可提供合作单位协议或者自身机构的营业执照证明，也可以提供在本地设立的项目部、办公室、办事处等机构证明，或者书面承诺（格式自拟）中标后提供本地化服务。</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10.2投标人应提供的培训方案，培训方案至少包含以下5部分内容：培训人员、培训内容、培训方式、培训计划、课程安排。</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10.3根据投标人应提供2020年1月1日（以合同签订时间为准）以来的类似业绩并提供佐证材料。</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10.4投标人须承诺提供以下技术服务：</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10.4.1提供对机房及电源的要求；</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10.4.2开机率≥95%；</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10.4.3现场免费培训操作人员；</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10.4.4免费负责设备的安装调试；</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10.4.5如设备出现故障, 接到通知后48小时内工程人员应到达现场；</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10.4.6国内具有大规模零配件库存，以保证及时的零配件供应。</w:t>
      </w:r>
    </w:p>
    <w:p>
      <w:pPr>
        <w:spacing w:line="360" w:lineRule="auto"/>
        <w:ind w:firstLine="480" w:firstLineChars="200"/>
        <w:jc w:val="left"/>
        <w:rPr>
          <w:rFonts w:ascii="宋体" w:hAnsi="宋体" w:eastAsia="宋体" w:cs="Times New Roman"/>
          <w:kern w:val="0"/>
          <w:sz w:val="24"/>
          <w:szCs w:val="24"/>
        </w:rPr>
      </w:pPr>
    </w:p>
    <w:p>
      <w:pPr>
        <w:spacing w:line="360" w:lineRule="auto"/>
        <w:ind w:firstLine="480" w:firstLineChars="200"/>
        <w:rPr>
          <w:rFonts w:asciiTheme="minorEastAsia" w:hAnsiTheme="minorEastAsia"/>
          <w:sz w:val="24"/>
          <w:szCs w:val="28"/>
        </w:rPr>
      </w:pPr>
    </w:p>
    <w:p>
      <w:pPr>
        <w:widowControl/>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pPr>
        <w:widowControl/>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pPr>
        <w:spacing w:line="360" w:lineRule="auto"/>
        <w:rPr>
          <w:rFonts w:ascii="黑体" w:hAnsi="黑体" w:eastAsia="黑体"/>
          <w:b/>
          <w:sz w:val="32"/>
          <w:szCs w:val="32"/>
        </w:rPr>
      </w:pPr>
      <w:bookmarkStart w:id="22" w:name="_Toc100307865"/>
      <w:r>
        <w:rPr>
          <w:rFonts w:hint="eastAsia" w:ascii="黑体" w:hAnsi="黑体" w:eastAsia="黑体"/>
          <w:b/>
          <w:sz w:val="32"/>
          <w:szCs w:val="32"/>
        </w:rPr>
        <w:t>一、对《第二章  投标人须知前附表》的内容补充如下：</w:t>
      </w:r>
      <w:bookmarkEnd w:id="22"/>
    </w:p>
    <w:p>
      <w:pPr>
        <w:widowControl/>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pPr>
              <w:widowControl/>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（1）邮件形式：将质疑函原件扫描发送至邮箱：xmgwtzzy</w:t>
            </w:r>
            <w:r>
              <w:rPr>
                <w:rFonts w:hint="eastAsia" w:ascii="宋体" w:hAnsi="宋体" w:eastAsia="宋体" w:cs="Times New Roman"/>
                <w:kern w:val="0"/>
                <w:sz w:val="24"/>
                <w:szCs w:val="20"/>
              </w:rPr>
              <w:t>@163.com。收到质疑函的时间以邮箱显示的收到时间为准。质疑答复过程中需要核对原件的，质疑人应提供原件核查，否则相关资料可能不被认可。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将质疑函原件快递至厦门市湖滨南路81号光大银行大厦18楼前台，收件人：张小姐，电话：0592-2279850。</w:t>
            </w:r>
            <w:r>
              <w:rPr>
                <w:rFonts w:hint="eastAsia" w:ascii="宋体" w:hAnsi="宋体" w:eastAsia="宋体" w:cs="Times New Roman"/>
                <w:kern w:val="0"/>
                <w:sz w:val="24"/>
                <w:szCs w:val="20"/>
              </w:rPr>
              <w:t>收到质疑函的时间以快递签收时间为准。</w:t>
            </w:r>
          </w:p>
          <w:p>
            <w:pPr>
              <w:widowControl/>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将质疑函原件现场送至厦门市湖滨南路81号光大银行大厦18楼前台。</w:t>
            </w:r>
            <w:r>
              <w:rPr>
                <w:rFonts w:hint="eastAsia" w:ascii="宋体" w:hAnsi="宋体" w:eastAsia="宋体" w:cs="Times New Roman"/>
                <w:kern w:val="0"/>
                <w:sz w:val="24"/>
                <w:szCs w:val="20"/>
              </w:rPr>
              <w:t>收到质疑函的时间以前台签收时间为准。</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17.2</w:t>
            </w:r>
          </w:p>
        </w:tc>
        <w:tc>
          <w:tcPr>
            <w:tcW w:w="6999" w:type="dxa"/>
          </w:tcPr>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本项目中强制采购节能产品的货物名称：</w:t>
            </w:r>
          </w:p>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采购包1：无。</w:t>
            </w:r>
          </w:p>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tcPr>
          <w:p>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本项目的核心产品为：</w:t>
            </w:r>
          </w:p>
          <w:p>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采购包1：</w:t>
            </w:r>
            <w:r>
              <w:rPr>
                <w:rFonts w:hint="eastAsia" w:ascii="仿宋" w:hAnsi="仿宋" w:eastAsia="仿宋" w:cs="Times New Roman"/>
                <w:sz w:val="28"/>
                <w:szCs w:val="28"/>
              </w:rPr>
              <w:t>DSA</w:t>
            </w:r>
          </w:p>
          <w:p>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注：多家投标人提供的核心产品中有任意一个对应产品品牌相同的，按照第四章第6.4条第（2）款第①、②规定处理。</w:t>
            </w:r>
          </w:p>
        </w:tc>
      </w:tr>
    </w:tbl>
    <w:p>
      <w:pPr>
        <w:widowControl/>
        <w:spacing w:line="360" w:lineRule="auto"/>
        <w:jc w:val="left"/>
        <w:rPr>
          <w:rFonts w:ascii="宋体" w:hAnsi="宋体" w:eastAsia="宋体" w:cs="宋体"/>
          <w:kern w:val="0"/>
          <w:sz w:val="18"/>
          <w:szCs w:val="18"/>
        </w:rPr>
      </w:pPr>
    </w:p>
    <w:p>
      <w:pPr>
        <w:spacing w:line="360" w:lineRule="auto"/>
        <w:rPr>
          <w:rFonts w:ascii="黑体" w:hAnsi="黑体" w:eastAsia="黑体"/>
          <w:b/>
          <w:sz w:val="32"/>
          <w:szCs w:val="32"/>
        </w:rPr>
      </w:pPr>
      <w:bookmarkStart w:id="23" w:name="_Toc100307866"/>
      <w:r>
        <w:rPr>
          <w:rFonts w:hint="eastAsia" w:ascii="黑体" w:hAnsi="黑体" w:eastAsia="黑体"/>
          <w:b/>
          <w:sz w:val="32"/>
          <w:szCs w:val="32"/>
        </w:rPr>
        <w:t>二、对《第三章  投标人须知》的内容补充如下：</w:t>
      </w:r>
      <w:bookmarkEnd w:id="23"/>
    </w:p>
    <w:p>
      <w:pPr>
        <w:spacing w:line="360" w:lineRule="auto"/>
        <w:rPr>
          <w:rFonts w:ascii="黑体" w:hAnsi="黑体" w:eastAsia="黑体"/>
          <w:b/>
          <w:sz w:val="32"/>
          <w:szCs w:val="32"/>
        </w:rPr>
      </w:pPr>
      <w:bookmarkStart w:id="24" w:name="_Toc100307867"/>
      <w:r>
        <w:rPr>
          <w:rFonts w:hint="eastAsia" w:ascii="黑体" w:hAnsi="黑体" w:eastAsia="黑体"/>
          <w:b/>
          <w:sz w:val="32"/>
          <w:szCs w:val="32"/>
        </w:rPr>
        <w:t>（一）《八、政府采购政策》内容补充如下：</w:t>
      </w:r>
      <w:bookmarkEnd w:id="24"/>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非专门面向中小企业采购项目优惠办法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的条件</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2、供应商提供的货物既有小微企业制造货物，也有中型、大型企业制造货物的，不享受优惠政策。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3、监狱企业视同小型、微型企业，若货物制造企业为监狱企业的，提供由省级以上监狱管理局、戒毒管理局（含新疆生产建设兵团）出具的属于监狱企业的证明文件。</w:t>
            </w:r>
          </w:p>
          <w:p>
            <w:pPr>
              <w:spacing w:line="360" w:lineRule="auto"/>
              <w:rPr>
                <w:rFonts w:ascii="宋体" w:hAnsi="宋体" w:eastAsia="宋体" w:cs="Times New Roman"/>
                <w:sz w:val="24"/>
                <w:szCs w:val="28"/>
              </w:rPr>
            </w:pPr>
            <w:r>
              <w:rPr>
                <w:rFonts w:hint="eastAsia" w:ascii="宋体" w:hAnsi="宋体" w:eastAsia="宋体" w:cs="Times New Roman"/>
                <w:sz w:val="24"/>
                <w:szCs w:val="28"/>
              </w:rPr>
              <w:t>4、残疾人福利性单位视同小型、微型企业，若货物制造企业为残疾人福利性单位的</w:t>
            </w:r>
            <w:r>
              <w:rPr>
                <w:rFonts w:ascii="宋体" w:hAnsi="宋体" w:eastAsia="宋体" w:cs="Times New Roman"/>
                <w:sz w:val="24"/>
                <w:szCs w:val="28"/>
              </w:rPr>
              <w:t>（不包括使用非残疾人福利性单位注册商标的货物）</w:t>
            </w:r>
            <w:r>
              <w:rPr>
                <w:rFonts w:hint="eastAsia" w:ascii="宋体" w:hAnsi="宋体" w:eastAsia="宋体" w:cs="Times New Roman"/>
                <w:sz w:val="24"/>
                <w:szCs w:val="28"/>
              </w:rPr>
              <w:t>，提供《残疾人福利性单位声明函》。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优惠办法</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对小型、微型企业的报价给予20%的扣除，用扣除后的价格参加评审。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pPr>
              <w:spacing w:line="360" w:lineRule="auto"/>
              <w:rPr>
                <w:rFonts w:ascii="宋体" w:hAnsi="宋体" w:eastAsia="宋体" w:cs="Times New Roman"/>
                <w:sz w:val="24"/>
                <w:szCs w:val="28"/>
              </w:rPr>
            </w:pPr>
            <w:r>
              <w:rPr>
                <w:rFonts w:hint="eastAsia" w:ascii="宋体" w:hAnsi="宋体" w:eastAsia="宋体" w:cs="Times New Roman"/>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注：1、促进中小企业发展、促进残疾人就业、支持监狱企业发展的优惠政策只适用一次，供应商不重复享受优惠政策。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pPr>
        <w:spacing w:line="360" w:lineRule="auto"/>
        <w:rPr>
          <w:rFonts w:ascii="宋体" w:hAnsi="宋体" w:eastAsia="宋体" w:cs="Times New Roman"/>
          <w:sz w:val="24"/>
          <w:szCs w:val="24"/>
        </w:rPr>
        <w:sectPr>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（一）《报价部分》的格式更改如下：</w:t>
      </w: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三-2小型、微型企业产品等价格扣除证明材料（若有）</w:t>
      </w:r>
    </w:p>
    <w:p>
      <w:pPr>
        <w:spacing w:before="240" w:beforeLines="100" w:after="24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中小企业声明函（货物）</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复旦大学附属肿瘤医院厦门医院】的【DSA】采购活动，属于【工业】行业，提供的货物全部由符合政策要求的中小企业制造。相关企业（含联合体中的中小企业、签订分包意向协议的中小企业） 的具体情况如下：</w:t>
      </w: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spacing w:line="360" w:lineRule="auto"/>
              <w:jc w:val="center"/>
              <w:rPr>
                <w:rFonts w:ascii="宋体" w:hAnsi="宋体" w:eastAsia="宋体" w:cs="Times New Roman"/>
                <w:sz w:val="24"/>
                <w:szCs w:val="32"/>
              </w:rPr>
            </w:pPr>
            <w:r>
              <w:rPr>
                <w:rFonts w:ascii="宋体" w:hAnsi="宋体" w:eastAsia="宋体" w:cs="Times New Roman"/>
                <w:sz w:val="24"/>
                <w:szCs w:val="32"/>
              </w:rPr>
              <w:t>序号</w:t>
            </w:r>
          </w:p>
        </w:tc>
        <w:tc>
          <w:tcPr>
            <w:tcW w:w="1402"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标的名称</w:t>
            </w:r>
          </w:p>
        </w:tc>
        <w:tc>
          <w:tcPr>
            <w:tcW w:w="843" w:type="dxa"/>
            <w:vAlign w:val="center"/>
          </w:tcPr>
          <w:p>
            <w:pPr>
              <w:spacing w:line="360" w:lineRule="auto"/>
              <w:jc w:val="center"/>
              <w:rPr>
                <w:rFonts w:ascii="宋体" w:hAnsi="宋体" w:eastAsia="宋体" w:cs="Times New Roman"/>
                <w:sz w:val="24"/>
                <w:szCs w:val="32"/>
              </w:rPr>
            </w:pPr>
            <w:r>
              <w:rPr>
                <w:rFonts w:ascii="宋体" w:hAnsi="宋体" w:eastAsia="宋体" w:cs="Times New Roman"/>
                <w:sz w:val="24"/>
                <w:szCs w:val="32"/>
              </w:rPr>
              <w:t>行业</w:t>
            </w:r>
          </w:p>
        </w:tc>
        <w:tc>
          <w:tcPr>
            <w:tcW w:w="932"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制造商全称</w:t>
            </w:r>
          </w:p>
        </w:tc>
        <w:tc>
          <w:tcPr>
            <w:tcW w:w="936"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从业</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人员</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w:t>
            </w:r>
          </w:p>
        </w:tc>
        <w:tc>
          <w:tcPr>
            <w:tcW w:w="1084"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营业</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收入</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1134"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资产</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总额</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2268" w:type="dxa"/>
            <w:vAlign w:val="center"/>
          </w:tcPr>
          <w:p>
            <w:pPr>
              <w:spacing w:line="360" w:lineRule="auto"/>
              <w:jc w:val="center"/>
              <w:rPr>
                <w:rFonts w:ascii="宋体" w:hAnsi="宋体" w:eastAsia="宋体" w:cs="Times New Roman"/>
                <w:sz w:val="24"/>
                <w:szCs w:val="32"/>
              </w:rPr>
            </w:pPr>
            <w:r>
              <w:rPr>
                <w:rFonts w:ascii="宋体" w:hAnsi="宋体" w:eastAsia="宋体" w:cs="Times New Roman"/>
                <w:sz w:val="24"/>
                <w:szCs w:val="32"/>
              </w:rPr>
              <w:t>企业类型</w:t>
            </w:r>
          </w:p>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（根据划型标准填写中型企业或小型企业或微型企业）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1</w:t>
            </w:r>
          </w:p>
        </w:tc>
        <w:tc>
          <w:tcPr>
            <w:tcW w:w="1402" w:type="dxa"/>
            <w:vAlign w:val="center"/>
          </w:tcPr>
          <w:p>
            <w:pPr>
              <w:spacing w:line="360" w:lineRule="auto"/>
              <w:jc w:val="center"/>
              <w:rPr>
                <w:rFonts w:ascii="宋体" w:hAnsi="宋体" w:eastAsia="宋体" w:cs="Times New Roman"/>
                <w:sz w:val="24"/>
                <w:szCs w:val="32"/>
              </w:rPr>
            </w:pPr>
          </w:p>
        </w:tc>
        <w:tc>
          <w:tcPr>
            <w:tcW w:w="843" w:type="dxa"/>
            <w:vAlign w:val="center"/>
          </w:tcPr>
          <w:p>
            <w:pPr>
              <w:spacing w:line="360" w:lineRule="auto"/>
              <w:jc w:val="center"/>
              <w:rPr>
                <w:rFonts w:ascii="宋体" w:hAnsi="宋体" w:eastAsia="宋体" w:cs="Times New Roman"/>
                <w:sz w:val="24"/>
                <w:szCs w:val="32"/>
              </w:rPr>
            </w:pPr>
            <w:r>
              <w:rPr>
                <w:rFonts w:ascii="宋体" w:hAnsi="宋体" w:eastAsia="宋体" w:cs="Times New Roman"/>
                <w:sz w:val="24"/>
                <w:szCs w:val="32"/>
              </w:rPr>
              <w:t>工业</w:t>
            </w:r>
          </w:p>
        </w:tc>
        <w:tc>
          <w:tcPr>
            <w:tcW w:w="932" w:type="dxa"/>
            <w:vAlign w:val="center"/>
          </w:tcPr>
          <w:p>
            <w:pPr>
              <w:spacing w:line="360" w:lineRule="auto"/>
              <w:jc w:val="center"/>
              <w:rPr>
                <w:rFonts w:ascii="宋体" w:hAnsi="宋体" w:eastAsia="宋体" w:cs="Times New Roman"/>
                <w:sz w:val="24"/>
                <w:szCs w:val="32"/>
              </w:rPr>
            </w:pPr>
          </w:p>
        </w:tc>
        <w:tc>
          <w:tcPr>
            <w:tcW w:w="936" w:type="dxa"/>
            <w:vAlign w:val="center"/>
          </w:tcPr>
          <w:p>
            <w:pPr>
              <w:spacing w:line="360" w:lineRule="auto"/>
              <w:jc w:val="center"/>
              <w:rPr>
                <w:rFonts w:ascii="宋体" w:hAnsi="宋体" w:eastAsia="宋体" w:cs="Times New Roman"/>
                <w:sz w:val="24"/>
                <w:szCs w:val="32"/>
              </w:rPr>
            </w:pPr>
          </w:p>
        </w:tc>
        <w:tc>
          <w:tcPr>
            <w:tcW w:w="1084" w:type="dxa"/>
            <w:vAlign w:val="center"/>
          </w:tcPr>
          <w:p>
            <w:pPr>
              <w:spacing w:line="360" w:lineRule="auto"/>
              <w:jc w:val="center"/>
              <w:rPr>
                <w:rFonts w:ascii="宋体" w:hAnsi="宋体" w:eastAsia="宋体" w:cs="Times New Roman"/>
                <w:sz w:val="24"/>
                <w:szCs w:val="32"/>
              </w:rPr>
            </w:pPr>
          </w:p>
        </w:tc>
        <w:tc>
          <w:tcPr>
            <w:tcW w:w="1134" w:type="dxa"/>
            <w:vAlign w:val="center"/>
          </w:tcPr>
          <w:p>
            <w:pPr>
              <w:spacing w:line="360" w:lineRule="auto"/>
              <w:jc w:val="center"/>
              <w:rPr>
                <w:rFonts w:ascii="宋体" w:hAnsi="宋体" w:eastAsia="宋体" w:cs="Times New Roman"/>
                <w:sz w:val="24"/>
                <w:szCs w:val="32"/>
              </w:rPr>
            </w:pPr>
          </w:p>
        </w:tc>
        <w:tc>
          <w:tcPr>
            <w:tcW w:w="2268" w:type="dxa"/>
            <w:vAlign w:val="center"/>
          </w:tcPr>
          <w:p>
            <w:pPr>
              <w:spacing w:line="360" w:lineRule="auto"/>
              <w:jc w:val="center"/>
              <w:rPr>
                <w:rFonts w:ascii="宋体" w:hAnsi="宋体"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2</w:t>
            </w:r>
          </w:p>
        </w:tc>
        <w:tc>
          <w:tcPr>
            <w:tcW w:w="1402" w:type="dxa"/>
            <w:vAlign w:val="center"/>
          </w:tcPr>
          <w:p>
            <w:pPr>
              <w:spacing w:line="360" w:lineRule="auto"/>
              <w:jc w:val="center"/>
              <w:rPr>
                <w:rFonts w:ascii="宋体" w:hAnsi="宋体" w:eastAsia="宋体" w:cs="Times New Roman"/>
                <w:sz w:val="24"/>
                <w:szCs w:val="32"/>
              </w:rPr>
            </w:pPr>
          </w:p>
        </w:tc>
        <w:tc>
          <w:tcPr>
            <w:tcW w:w="843"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工业</w:t>
            </w:r>
          </w:p>
        </w:tc>
        <w:tc>
          <w:tcPr>
            <w:tcW w:w="932" w:type="dxa"/>
            <w:vAlign w:val="center"/>
          </w:tcPr>
          <w:p>
            <w:pPr>
              <w:spacing w:line="360" w:lineRule="auto"/>
              <w:jc w:val="center"/>
              <w:rPr>
                <w:rFonts w:ascii="宋体" w:hAnsi="宋体" w:eastAsia="宋体" w:cs="Times New Roman"/>
                <w:sz w:val="24"/>
                <w:szCs w:val="32"/>
              </w:rPr>
            </w:pPr>
          </w:p>
        </w:tc>
        <w:tc>
          <w:tcPr>
            <w:tcW w:w="936" w:type="dxa"/>
            <w:vAlign w:val="center"/>
          </w:tcPr>
          <w:p>
            <w:pPr>
              <w:spacing w:line="360" w:lineRule="auto"/>
              <w:jc w:val="center"/>
              <w:rPr>
                <w:rFonts w:ascii="宋体" w:hAnsi="宋体" w:eastAsia="宋体" w:cs="Times New Roman"/>
                <w:sz w:val="24"/>
                <w:szCs w:val="32"/>
              </w:rPr>
            </w:pPr>
          </w:p>
        </w:tc>
        <w:tc>
          <w:tcPr>
            <w:tcW w:w="1084" w:type="dxa"/>
            <w:vAlign w:val="center"/>
          </w:tcPr>
          <w:p>
            <w:pPr>
              <w:spacing w:line="360" w:lineRule="auto"/>
              <w:jc w:val="center"/>
              <w:rPr>
                <w:rFonts w:ascii="宋体" w:hAnsi="宋体" w:eastAsia="宋体" w:cs="Times New Roman"/>
                <w:sz w:val="24"/>
                <w:szCs w:val="32"/>
              </w:rPr>
            </w:pPr>
          </w:p>
        </w:tc>
        <w:tc>
          <w:tcPr>
            <w:tcW w:w="1134" w:type="dxa"/>
            <w:vAlign w:val="center"/>
          </w:tcPr>
          <w:p>
            <w:pPr>
              <w:spacing w:line="360" w:lineRule="auto"/>
              <w:jc w:val="center"/>
              <w:rPr>
                <w:rFonts w:ascii="宋体" w:hAnsi="宋体" w:eastAsia="宋体" w:cs="Times New Roman"/>
                <w:sz w:val="24"/>
                <w:szCs w:val="32"/>
              </w:rPr>
            </w:pPr>
          </w:p>
        </w:tc>
        <w:tc>
          <w:tcPr>
            <w:tcW w:w="2268" w:type="dxa"/>
            <w:vAlign w:val="center"/>
          </w:tcPr>
          <w:p>
            <w:pPr>
              <w:spacing w:line="360" w:lineRule="auto"/>
              <w:jc w:val="center"/>
              <w:rPr>
                <w:rFonts w:ascii="宋体" w:hAnsi="宋体"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3</w:t>
            </w:r>
          </w:p>
        </w:tc>
        <w:tc>
          <w:tcPr>
            <w:tcW w:w="1402" w:type="dxa"/>
            <w:vAlign w:val="center"/>
          </w:tcPr>
          <w:p>
            <w:pPr>
              <w:spacing w:line="360" w:lineRule="auto"/>
              <w:jc w:val="center"/>
              <w:rPr>
                <w:rFonts w:ascii="宋体" w:hAnsi="宋体" w:eastAsia="宋体" w:cs="Times New Roman"/>
                <w:sz w:val="24"/>
                <w:szCs w:val="32"/>
              </w:rPr>
            </w:pPr>
          </w:p>
        </w:tc>
        <w:tc>
          <w:tcPr>
            <w:tcW w:w="843" w:type="dxa"/>
            <w:vAlign w:val="center"/>
          </w:tcPr>
          <w:p>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工业</w:t>
            </w:r>
          </w:p>
        </w:tc>
        <w:tc>
          <w:tcPr>
            <w:tcW w:w="932" w:type="dxa"/>
            <w:vAlign w:val="center"/>
          </w:tcPr>
          <w:p>
            <w:pPr>
              <w:spacing w:line="360" w:lineRule="auto"/>
              <w:jc w:val="center"/>
              <w:rPr>
                <w:rFonts w:ascii="宋体" w:hAnsi="宋体" w:eastAsia="宋体" w:cs="Times New Roman"/>
                <w:sz w:val="24"/>
                <w:szCs w:val="32"/>
              </w:rPr>
            </w:pPr>
          </w:p>
        </w:tc>
        <w:tc>
          <w:tcPr>
            <w:tcW w:w="936" w:type="dxa"/>
            <w:vAlign w:val="center"/>
          </w:tcPr>
          <w:p>
            <w:pPr>
              <w:spacing w:line="360" w:lineRule="auto"/>
              <w:jc w:val="center"/>
              <w:rPr>
                <w:rFonts w:ascii="宋体" w:hAnsi="宋体" w:eastAsia="宋体" w:cs="Times New Roman"/>
                <w:sz w:val="24"/>
                <w:szCs w:val="32"/>
              </w:rPr>
            </w:pPr>
          </w:p>
        </w:tc>
        <w:tc>
          <w:tcPr>
            <w:tcW w:w="1084" w:type="dxa"/>
            <w:vAlign w:val="center"/>
          </w:tcPr>
          <w:p>
            <w:pPr>
              <w:spacing w:line="360" w:lineRule="auto"/>
              <w:jc w:val="center"/>
              <w:rPr>
                <w:rFonts w:ascii="宋体" w:hAnsi="宋体" w:eastAsia="宋体" w:cs="Times New Roman"/>
                <w:sz w:val="24"/>
                <w:szCs w:val="32"/>
              </w:rPr>
            </w:pPr>
          </w:p>
        </w:tc>
        <w:tc>
          <w:tcPr>
            <w:tcW w:w="1134" w:type="dxa"/>
            <w:vAlign w:val="center"/>
          </w:tcPr>
          <w:p>
            <w:pPr>
              <w:spacing w:line="360" w:lineRule="auto"/>
              <w:jc w:val="center"/>
              <w:rPr>
                <w:rFonts w:ascii="宋体" w:hAnsi="宋体" w:eastAsia="宋体" w:cs="Times New Roman"/>
                <w:sz w:val="24"/>
                <w:szCs w:val="32"/>
              </w:rPr>
            </w:pPr>
          </w:p>
        </w:tc>
        <w:tc>
          <w:tcPr>
            <w:tcW w:w="2268" w:type="dxa"/>
            <w:vAlign w:val="center"/>
          </w:tcPr>
          <w:p>
            <w:pPr>
              <w:spacing w:line="360" w:lineRule="auto"/>
              <w:jc w:val="center"/>
              <w:rPr>
                <w:rFonts w:ascii="宋体" w:hAnsi="宋体" w:eastAsia="宋体" w:cs="Times New Roman"/>
                <w:sz w:val="24"/>
                <w:szCs w:val="32"/>
              </w:rPr>
            </w:pPr>
          </w:p>
        </w:tc>
      </w:tr>
    </w:tbl>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p>
    <w:p>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p>
    <w:p>
      <w:pPr>
        <w:spacing w:line="360" w:lineRule="auto"/>
        <w:rPr>
          <w:rFonts w:ascii="Calibri" w:hAnsi="Calibri" w:eastAsia="宋体" w:cs="Times New Roman"/>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填报的企业类型与划型标准不对应的，将可能导致不享受价格扣除。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w:t>
      </w:r>
    </w:p>
    <w:p>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若填报的数据与投标人自己提供的上一年度财务审计报告数据有出入的，将可能导致不享受价格扣除。</w:t>
      </w:r>
    </w:p>
    <w:p>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5、表格内的空格都要填写，同时不得删减、更改内容，否则将可能导致不享受价格扣除。</w:t>
      </w:r>
    </w:p>
    <w:p>
      <w:pPr>
        <w:spacing w:line="276" w:lineRule="auto"/>
        <w:ind w:firstLine="480" w:firstLineChars="200"/>
        <w:rPr>
          <w:rFonts w:ascii="宋体" w:hAnsi="宋体" w:eastAsia="宋体" w:cs="Times New Roman"/>
          <w:sz w:val="24"/>
          <w:szCs w:val="24"/>
        </w:rPr>
        <w:sectPr>
          <w:pgSz w:w="11906" w:h="16838"/>
          <w:pgMar w:top="1418" w:right="1418" w:bottom="1418" w:left="1418" w:header="851" w:footer="992" w:gutter="0"/>
          <w:cols w:space="720" w:num="1"/>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bl>
    <w:p>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pPr>
        <w:spacing w:line="380" w:lineRule="exact"/>
        <w:ind w:firstLine="482" w:firstLineChars="200"/>
        <w:jc w:val="left"/>
        <w:rPr>
          <w:rFonts w:ascii="宋体" w:hAnsi="宋体" w:eastAsia="宋体" w:cs="Times New Roman"/>
          <w:b/>
          <w:sz w:val="24"/>
          <w:szCs w:val="24"/>
        </w:rPr>
      </w:pP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pPr>
        <w:widowControl/>
        <w:spacing w:line="360" w:lineRule="auto"/>
        <w:jc w:val="center"/>
        <w:rPr>
          <w:rFonts w:ascii="黑体" w:hAnsi="黑体" w:eastAsia="黑体" w:cs="宋体"/>
          <w:b/>
          <w:bCs/>
          <w:kern w:val="0"/>
          <w:sz w:val="28"/>
          <w:szCs w:val="18"/>
        </w:rPr>
      </w:pPr>
      <w:bookmarkStart w:id="25" w:name="_Toc100307875"/>
      <w:r>
        <w:rPr>
          <w:rFonts w:hint="eastAsia" w:ascii="黑体" w:hAnsi="黑体" w:eastAsia="黑体" w:cs="宋体"/>
          <w:b/>
          <w:bCs/>
          <w:kern w:val="0"/>
          <w:sz w:val="28"/>
          <w:szCs w:val="18"/>
        </w:rPr>
        <w:t>（二）技术商务评分响应索引表</w:t>
      </w:r>
      <w:bookmarkEnd w:id="25"/>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pPr>
              <w:spacing w:before="156" w:beforeLines="50" w:after="156" w:afterLines="50"/>
              <w:jc w:val="center"/>
              <w:rPr>
                <w:rFonts w:ascii="宋体" w:hAnsi="宋体" w:eastAsia="黑体" w:cs="Times New Roman"/>
                <w:b/>
                <w:bCs/>
                <w:sz w:val="24"/>
                <w:szCs w:val="32"/>
              </w:rPr>
            </w:pPr>
          </w:p>
        </w:tc>
        <w:tc>
          <w:tcPr>
            <w:tcW w:w="3022" w:type="dxa"/>
            <w:vAlign w:val="center"/>
          </w:tcPr>
          <w:p>
            <w:pPr>
              <w:spacing w:before="156" w:beforeLines="50" w:after="156"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pPr>
              <w:spacing w:before="156" w:beforeLines="50" w:after="156" w:afterLines="50"/>
              <w:jc w:val="center"/>
              <w:rPr>
                <w:rFonts w:ascii="宋体" w:hAnsi="宋体" w:eastAsia="黑体" w:cs="Times New Roman"/>
                <w:b/>
                <w:bCs/>
                <w:sz w:val="24"/>
                <w:szCs w:val="32"/>
              </w:rPr>
            </w:pPr>
          </w:p>
        </w:tc>
        <w:tc>
          <w:tcPr>
            <w:tcW w:w="3022" w:type="dxa"/>
            <w:vAlign w:val="center"/>
          </w:tcPr>
          <w:p>
            <w:pPr>
              <w:spacing w:before="156" w:beforeLines="50" w:after="156"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pPr>
              <w:spacing w:before="156" w:beforeLines="50" w:after="156" w:afterLines="50"/>
              <w:jc w:val="center"/>
              <w:rPr>
                <w:rFonts w:ascii="宋体" w:hAnsi="宋体" w:eastAsia="黑体" w:cs="Times New Roman"/>
                <w:b/>
                <w:bCs/>
                <w:sz w:val="24"/>
                <w:szCs w:val="32"/>
              </w:rPr>
            </w:pPr>
          </w:p>
        </w:tc>
        <w:tc>
          <w:tcPr>
            <w:tcW w:w="3022" w:type="dxa"/>
            <w:vAlign w:val="center"/>
          </w:tcPr>
          <w:p>
            <w:pPr>
              <w:spacing w:before="156" w:beforeLines="50" w:after="156"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pPr>
              <w:spacing w:before="156" w:beforeLines="50" w:after="156" w:afterLines="50"/>
              <w:jc w:val="center"/>
              <w:rPr>
                <w:rFonts w:ascii="宋体" w:hAnsi="宋体" w:eastAsia="黑体" w:cs="Times New Roman"/>
                <w:b/>
                <w:bCs/>
                <w:sz w:val="24"/>
                <w:szCs w:val="32"/>
              </w:rPr>
            </w:pPr>
          </w:p>
        </w:tc>
        <w:tc>
          <w:tcPr>
            <w:tcW w:w="3022" w:type="dxa"/>
            <w:vAlign w:val="center"/>
          </w:tcPr>
          <w:p>
            <w:pPr>
              <w:spacing w:before="156" w:beforeLines="50" w:after="156" w:afterLines="50"/>
              <w:jc w:val="center"/>
              <w:rPr>
                <w:rFonts w:ascii="宋体" w:hAnsi="宋体" w:eastAsia="黑体" w:cs="Times New Roman"/>
                <w:b/>
                <w:bCs/>
                <w:sz w:val="24"/>
                <w:szCs w:val="32"/>
              </w:rPr>
            </w:pPr>
          </w:p>
        </w:tc>
      </w:tr>
    </w:tbl>
    <w:p>
      <w:pPr>
        <w:widowControl/>
        <w:spacing w:line="360" w:lineRule="auto"/>
        <w:jc w:val="left"/>
        <w:rPr>
          <w:rFonts w:cs="宋体" w:asciiTheme="minorEastAsia" w:hAnsiTheme="minorEastAsia"/>
          <w:bCs/>
          <w:kern w:val="0"/>
          <w:sz w:val="24"/>
          <w:szCs w:val="24"/>
        </w:rPr>
      </w:pPr>
    </w:p>
    <w:p>
      <w:pPr>
        <w:sectPr>
          <w:pgSz w:w="11906" w:h="16838"/>
          <w:pgMar w:top="1418" w:right="1418" w:bottom="1418" w:left="1418" w:header="851" w:footer="992" w:gutter="0"/>
          <w:cols w:space="425" w:num="1"/>
          <w:docGrid w:type="lines" w:linePitch="312" w:charSpace="0"/>
        </w:sectPr>
      </w:pPr>
    </w:p>
    <w:p>
      <w:pPr>
        <w:spacing w:before="156" w:beforeLines="50" w:after="156"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pPr>
        <w:spacing w:line="360" w:lineRule="auto"/>
        <w:ind w:firstLine="480" w:firstLineChars="200"/>
        <w:rPr>
          <w:rFonts w:ascii="宋体" w:hAnsi="宋体" w:eastAsia="宋体" w:cs="Times New Roman"/>
          <w:sz w:val="24"/>
          <w:szCs w:val="28"/>
        </w:rPr>
      </w:pPr>
      <w:bookmarkStart w:id="26" w:name="_Toc100307870"/>
      <w:r>
        <w:rPr>
          <w:rFonts w:hint="eastAsia" w:ascii="宋体" w:hAnsi="宋体" w:eastAsia="宋体" w:cs="Times New Roman"/>
          <w:sz w:val="24"/>
          <w:szCs w:val="28"/>
        </w:rPr>
        <w:t>（五）供应商之间事先约定由某一特定供应商中标、成交；</w:t>
      </w:r>
      <w:bookmarkEnd w:id="26"/>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pPr>
        <w:spacing w:line="360" w:lineRule="auto"/>
        <w:ind w:firstLine="480" w:firstLineChars="200"/>
        <w:rPr>
          <w:rFonts w:ascii="宋体" w:hAnsi="宋体" w:eastAsia="宋体" w:cs="Times New Roman"/>
          <w:sz w:val="24"/>
          <w:szCs w:val="28"/>
        </w:rPr>
      </w:pPr>
      <w:bookmarkStart w:id="27" w:name="_Toc100307871"/>
      <w:r>
        <w:rPr>
          <w:rFonts w:hint="eastAsia" w:ascii="宋体" w:hAnsi="宋体" w:eastAsia="宋体" w:cs="Times New Roman"/>
          <w:sz w:val="24"/>
          <w:szCs w:val="28"/>
        </w:rPr>
        <w:t>（一）不同投标人的投标文件由同一单位或者个人编制；</w:t>
      </w:r>
      <w:bookmarkEnd w:id="27"/>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pPr>
        <w:spacing w:line="360" w:lineRule="auto"/>
        <w:ind w:firstLine="480" w:firstLineChars="200"/>
        <w:rPr>
          <w:rFonts w:ascii="宋体" w:hAnsi="宋体" w:eastAsia="宋体" w:cs="Times New Roman"/>
          <w:sz w:val="24"/>
          <w:szCs w:val="28"/>
        </w:rPr>
      </w:pPr>
      <w:bookmarkStart w:id="28" w:name="_Toc100307872"/>
      <w:r>
        <w:rPr>
          <w:rFonts w:hint="eastAsia" w:ascii="宋体" w:hAnsi="宋体" w:eastAsia="宋体" w:cs="Times New Roman"/>
          <w:sz w:val="24"/>
          <w:szCs w:val="28"/>
        </w:rPr>
        <w:t>（五）不同投标人的投标文件相互混装；</w:t>
      </w:r>
      <w:bookmarkEnd w:id="28"/>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pPr>
        <w:spacing w:line="360" w:lineRule="auto"/>
        <w:ind w:firstLine="480" w:firstLineChars="200"/>
        <w:rPr>
          <w:rFonts w:ascii="宋体" w:hAnsi="宋体" w:eastAsia="宋体" w:cs="Times New Roman"/>
          <w:sz w:val="24"/>
          <w:szCs w:val="28"/>
        </w:rPr>
      </w:pPr>
      <w:bookmarkStart w:id="29" w:name="_Toc100307873"/>
      <w:r>
        <w:rPr>
          <w:rFonts w:hint="eastAsia" w:ascii="宋体" w:hAnsi="宋体" w:eastAsia="宋体" w:cs="Times New Roman"/>
          <w:sz w:val="24"/>
          <w:szCs w:val="28"/>
        </w:rPr>
        <w:t>（二）电子响应文件解密阶段</w:t>
      </w:r>
      <w:bookmarkEnd w:id="29"/>
      <w:r>
        <w:rPr>
          <w:rFonts w:hint="eastAsia" w:ascii="宋体" w:hAnsi="宋体" w:eastAsia="宋体" w:cs="Times New Roman"/>
          <w:sz w:val="24"/>
          <w:szCs w:val="28"/>
        </w:rPr>
        <w:t xml:space="preserve">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eastAsia="宋体" w:cs="Times New Roman"/>
          <w:sz w:val="24"/>
          <w:szCs w:val="28"/>
        </w:rPr>
      </w:pPr>
      <w:bookmarkStart w:id="30" w:name="_Toc100307874"/>
      <w:r>
        <w:rPr>
          <w:rFonts w:hint="eastAsia" w:ascii="宋体" w:hAnsi="宋体" w:eastAsia="宋体" w:cs="Times New Roman"/>
          <w:sz w:val="24"/>
          <w:szCs w:val="28"/>
        </w:rPr>
        <w:t>（三）与采购人、其他供应商或者采购代理机构恶意串通的；</w:t>
      </w:r>
      <w:bookmarkEnd w:id="30"/>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pPr>
        <w:pStyle w:val="4"/>
        <w:spacing w:before="312" w:beforeLines="100" w:after="312" w:afterLines="100" w:line="240" w:lineRule="auto"/>
        <w:jc w:val="left"/>
        <w:rPr>
          <w:rFonts w:ascii="黑体" w:hAnsi="黑体" w:eastAsia="黑体" w:cs="Times New Roman"/>
          <w:kern w:val="0"/>
          <w:sz w:val="30"/>
        </w:rPr>
      </w:pPr>
      <w:bookmarkStart w:id="31" w:name="_Toc139103801"/>
      <w:r>
        <w:rPr>
          <w:rFonts w:ascii="黑体" w:hAnsi="黑体" w:eastAsia="黑体" w:cs="Times New Roman"/>
          <w:kern w:val="0"/>
          <w:sz w:val="30"/>
        </w:rPr>
        <w:t>四、其他事项</w:t>
      </w:r>
      <w:bookmarkEnd w:id="31"/>
    </w:p>
    <w:p>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2" w:name="_Toc139103802"/>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32"/>
    </w:p>
    <w:p>
      <w:pPr>
        <w:pStyle w:val="55"/>
        <w:widowControl w:val="0"/>
        <w:jc w:val="center"/>
        <w:rPr>
          <w:rFonts w:hint="default"/>
        </w:rPr>
      </w:pPr>
      <w:r>
        <w:rPr>
          <w:b/>
          <w:sz w:val="28"/>
        </w:rPr>
        <w:t>参考文本</w:t>
      </w:r>
    </w:p>
    <w:p>
      <w:pPr>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合同编号：</w:t>
      </w:r>
    </w:p>
    <w:p>
      <w:pPr>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福建省政府采购合同（货物类）</w:t>
      </w:r>
    </w:p>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编制说明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1.签订合同应遵守《中华人民共和国政府采购法》及其实施条例、《中华人民共和国民法典》等法律法规及其他有关规定。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2.签订合同时，采购人与中标（成交）人应结合采购文件规定填列相应内容。采购文件已有约定的，双方均不得对约定进行变更或调整；采购文件未作规定的，双方可通过友好协商进行约定。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3.政府有关主管部门对若干合同有规范文本的，可使用相应合同文本。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4.本合同范本仅供参考，采购人应当根据采购项目的实际需求对合同条款进行修改、补充。</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根据项目编号为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项目（以下简称：“本项目”）的采购结果，遵循平等、自愿、公平和诚实信用的原则，双方签署本合同，具体内容如下：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一、合同组成部分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1.1本合同条款及附件；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1.2采购文件及其附件、补充文件；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1.3乙方的响应文件及其附件、补充文件；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1.4其他文件或材料：</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二、合同标的</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三、合同金额</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3.1合同总价：人民币（大写）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3.2合同总价组成：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3.3其他需说明事项：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四、合同标的交付</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4.1交付时间：</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4.2交付地点：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4.3交付条件：</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4.4供货要求：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（4）其他供货要求：</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五、质量标准及要求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5.1质量标准及要求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（2）其他质量要求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5.2节能环保产品要求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5.3质量保证范围、质量保证期及售后服务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（1）质量保证范围：</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（2）本合同乙方所供应的货物质量保证期自验收合格之日起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（3）售后服务应按法律法规和采购文件约定执行，具体如下：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5.4商品安全责任</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商品安全责任应按照法律法规和采购文件的规定执行，具体如下：</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六、安装调试、验收及退、换货</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6.1安装调试、验收应按照采购文件、乙方响应文件的规定或约定进行，具体如下：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6.2本项目是否邀请其他投标人参与验收：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6.3本项目是否邀请专家参与验收：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6.4本项目是否邀请国家认可的质量检测机构参与验收：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6.5履约验收：</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6.6退、换货：</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6.7其他：</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七、资金支付方式、条件和时间</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八、履约保证金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□有，□无。具体如下违约：（按照采购文件规定填写）。</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8.1乙方向甲方缴纳人民币 元（大写： ）作为本合同的履约保证金。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8.2履约保证金缴纳形式：支票/汇票/电汇/保函等非现金形式。</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8.3履约保证金退还： （根据实际情况填写）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九、合同期限</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10.1甲方违约责任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（1）甲方无正当理由拒收乙方交付的合格产品的，甲方向乙方偿付拒收货款总值</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甲方无故逾期验收和办理合同款项支付手续的,甲方应按逾期付款总额每日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向乙方支付违约金。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（3）其他违约情形</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10.2乙方违约责任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（1）乙方逾期履行服务的，乙方应按逾期交付总额每日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向甲方支付违约金，由甲方从待付货款中扣除。乙方无正当理由逾期超过约定日期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仍不能交付的，视为“乙方不按合同约定履约”；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（3）乙方不按合同约定履约的，甲方可以解除采购合同，并对乙方已缴纳的履约保证金作“不予退还”处理。同时，乙方还须按向甲方支付违约金：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（4）其他违约情形</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十一、不可抗力事件处理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十二、保密条款</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12.1对于在采购和合同履行过程中所获悉的属于保密的内容，甲、乙双方均负有保密义务。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12.2其他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十三、解决争议的方法</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13.1甲、乙双方协商解决。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13.2若协商解决不成，则通过下列途径之一解决：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□提交仲裁委员会仲裁，具体如下：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□向人民法院提起诉讼，具体如下：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十四、合同其他条款</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十五、其他约定</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15.3本合同未尽事宜，遵照《中华人民共和国民法典》有关条文执行。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15.4本合同正本一式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份，具有同等法律效力，甲方、乙方各执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份；副本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15.5本合同已用于政府采购合同融资，为本项目提供合同融资的金融机构为：_______，甲乙双方应当按照融资合同的约定进行资金使用及款项支付。</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中标（成交）供应商应于采购合同签订之日起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内，向发放政采贷的金融机构提交政府采购中标（成交）通知书和政府采购合同，贷款金额以政府采购合同金额为限。</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15.6其他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十六、合同附件</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甲方（采购人）：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乙方（中标或成交人）：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pPr>
        <w:pStyle w:val="3"/>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3" w:name="_Toc139103803"/>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33"/>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pPr>
        <w:pStyle w:val="55"/>
        <w:widowControl w:val="0"/>
        <w:rPr>
          <w:rFonts w:hint="default"/>
        </w:rPr>
      </w:pPr>
    </w:p>
    <w:p>
      <w:pPr>
        <w:pStyle w:val="55"/>
        <w:widowControl w:val="0"/>
        <w:rPr>
          <w:rFonts w:hint="default"/>
        </w:rPr>
        <w:sectPr>
          <w:pgSz w:w="11906" w:h="16838"/>
          <w:pgMar w:top="1418" w:right="1418" w:bottom="1418" w:left="1418" w:header="851" w:footer="992" w:gutter="0"/>
          <w:cols w:space="425" w:num="1"/>
          <w:docGrid w:type="lines" w:linePitch="312" w:charSpace="0"/>
        </w:sectPr>
      </w:pPr>
      <w:r>
        <w:t xml:space="preserve"> </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封面格式（资格及资信证明部分）</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（资格及资信证明部分）</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（填写正本或副本）</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8"/>
          <w:szCs w:val="24"/>
        </w:rPr>
      </w:pPr>
      <w:r>
        <w:rPr>
          <w:rFonts w:asciiTheme="minorEastAsia" w:hAnsiTheme="minorEastAsia"/>
          <w:b/>
          <w:sz w:val="28"/>
          <w:szCs w:val="24"/>
        </w:rPr>
        <w:t>索引</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一、投标函</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②投标分项报价表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1.1所投采购包的投标报价详见“开标一览表”及“投标分项报价表”。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2.8我方承诺电子投标文件所提供的全部资料真实可靠，并接受评标委员会、采购人、采购代理机构、监管部门进一步审查其中任何资料真实性的要求。</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2.9除招标文件另有规定外，对于贵单位按照下述联络方式发出的任何信息或通知，均视为我方已收悉前述信息或通知的全部内容：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通信地址：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邮编：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footerReference r:id="rId7" w:type="first"/>
          <w:footerReference r:id="rId6" w:type="default"/>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二、投标人的资格及资信证明文件</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二-1单位授权书（若有）</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pPr>
        <w:pStyle w:val="55"/>
        <w:widowControl w:val="0"/>
        <w:pBdr>
          <w:top w:val="dashed" w:color="000000" w:sz="4" w:space="0"/>
          <w:left w:val="dashed" w:color="000000" w:sz="4" w:space="0"/>
          <w:bottom w:val="dashed" w:color="000000" w:sz="4" w:space="0"/>
          <w:right w:val="dashed" w:color="000000" w:sz="4" w:space="0"/>
        </w:pBdr>
        <w:spacing w:line="360" w:lineRule="auto"/>
        <w:ind w:firstLine="480" w:firstLineChars="200"/>
        <w:jc w:val="center"/>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二-2营业执照等证明文件</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二-3财务状况报告（财务报告、或资信证明）</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二-4依法缴纳税收证明材料</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二-5依法缴纳社会保障资金证明材料</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二-6具备履行合同所必需设备和专业技术能力的声明函（若有）</w:t>
      </w:r>
    </w:p>
    <w:p>
      <w:pPr>
        <w:pStyle w:val="55"/>
        <w:widowControl w:val="0"/>
        <w:spacing w:line="360" w:lineRule="auto"/>
        <w:rPr>
          <w:rFonts w:hint="default" w:asciiTheme="minorEastAsia" w:hAnsiTheme="minorEastAsia"/>
          <w:sz w:val="24"/>
          <w:szCs w:val="24"/>
        </w:rPr>
      </w:pP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二-7参加采购活动前三年内在经营活动中没有重大违法记录书面声明</w:t>
      </w:r>
    </w:p>
    <w:p>
      <w:pPr>
        <w:pStyle w:val="55"/>
        <w:widowControl w:val="0"/>
        <w:spacing w:line="360" w:lineRule="auto"/>
        <w:rPr>
          <w:rFonts w:hint="default" w:asciiTheme="minorEastAsia" w:hAnsiTheme="minorEastAsia"/>
          <w:sz w:val="24"/>
          <w:szCs w:val="24"/>
        </w:rPr>
      </w:pP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ind w:firstLine="480" w:firstLineChars="200"/>
        <w:rPr>
          <w:rFonts w:hint="default" w:asciiTheme="minorEastAsia" w:hAnsiTheme="minorEastAsia"/>
          <w:sz w:val="24"/>
          <w:szCs w:val="24"/>
        </w:rPr>
        <w:sectPr>
          <w:type w:val="continuous"/>
          <w:pgSz w:w="11906" w:h="16838"/>
          <w:pgMar w:top="1418" w:right="1418" w:bottom="1418" w:left="1418" w:header="851" w:footer="992" w:gutter="0"/>
          <w:cols w:space="425" w:num="1"/>
          <w:docGrid w:type="lines" w:linePitch="312" w:charSpace="0"/>
        </w:sect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二-8信用记录查询提示</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二-9中小企业声明函</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（以资格条件落实中小企业扶持政策时适用，若有）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中小企业声明函（货物）</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中小企业声明函（工程、服务）</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残疾人福利性单位声明函</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（以资格条件落实中小企业扶持政策时适用，若有）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5"/>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监狱企业证明材料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二-10联合体协议（若有）</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1、牵头方（全称）：（填写“工作及义务的具体内容”）；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2.1（成员一的全称）：（填写“工作及义务的具体内容”）；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1.牵头方（全称）的合同金额占合同总额的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成员1的全称</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二-11分包意向协议（若有）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二-12其他资格证明文件（若有）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二-12-①具备履行合同所必需设备和专业技术能力专项证明材料（若有）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现附上我方具备履行合同所必需的设备和专业技术能力的专项证明材料复印件（具体附后），上述证明材料真实有效，否则我方负全部责任。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1、招标文件要求投标人提供“具备履行合同所必需的设备和专业技术能力专项证明材料”的，投标人应按照招标文件规定在此项下提供相应证明材料复印件。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2、投标人提供的相应证明材料复印件均应符合：内容完整、清晰、整洁，并由投标人加盖其单位公章。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二-12-②招标文件规定的其他资格证明文件（若有）</w:t>
      </w:r>
    </w:p>
    <w:p>
      <w:pPr>
        <w:pStyle w:val="55"/>
        <w:widowControl w:val="0"/>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三、投标保证金</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32"/>
          <w:szCs w:val="32"/>
        </w:rPr>
      </w:pPr>
      <w:r>
        <w:rPr>
          <w:rFonts w:asciiTheme="minorEastAsia" w:hAnsiTheme="minorEastAsia"/>
          <w:b/>
          <w:sz w:val="32"/>
          <w:szCs w:val="32"/>
        </w:rPr>
        <w:t>封面格式（报价部分）</w:t>
      </w:r>
    </w:p>
    <w:p>
      <w:pPr>
        <w:pStyle w:val="55"/>
        <w:widowControl w:val="0"/>
        <w:spacing w:line="360" w:lineRule="auto"/>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5"/>
        <w:widowControl w:val="0"/>
        <w:spacing w:line="360" w:lineRule="auto"/>
        <w:jc w:val="center"/>
        <w:rPr>
          <w:rFonts w:hint="default" w:asciiTheme="minorEastAsia" w:hAnsiTheme="minorEastAsia"/>
          <w:sz w:val="32"/>
          <w:szCs w:val="32"/>
        </w:rPr>
      </w:pPr>
      <w:r>
        <w:rPr>
          <w:rFonts w:asciiTheme="minorEastAsia" w:hAnsiTheme="minorEastAsia"/>
          <w:b/>
          <w:sz w:val="32"/>
          <w:szCs w:val="32"/>
        </w:rPr>
        <w:t>（报价部分）</w:t>
      </w:r>
    </w:p>
    <w:p>
      <w:pPr>
        <w:pStyle w:val="55"/>
        <w:widowControl w:val="0"/>
        <w:spacing w:line="360" w:lineRule="auto"/>
        <w:jc w:val="center"/>
        <w:rPr>
          <w:rFonts w:hint="default" w:asciiTheme="minorEastAsia" w:hAnsiTheme="minorEastAsia"/>
          <w:sz w:val="32"/>
          <w:szCs w:val="32"/>
        </w:rPr>
      </w:pPr>
    </w:p>
    <w:p>
      <w:pPr>
        <w:pStyle w:val="55"/>
        <w:widowControl w:val="0"/>
        <w:spacing w:line="360" w:lineRule="auto"/>
        <w:jc w:val="center"/>
        <w:rPr>
          <w:rFonts w:hint="default" w:asciiTheme="minorEastAsia" w:hAnsiTheme="minorEastAsia"/>
          <w:sz w:val="32"/>
          <w:szCs w:val="32"/>
        </w:rPr>
      </w:pPr>
      <w:r>
        <w:rPr>
          <w:rFonts w:asciiTheme="minorEastAsia" w:hAnsiTheme="minorEastAsia"/>
          <w:b/>
          <w:sz w:val="32"/>
          <w:szCs w:val="32"/>
        </w:rPr>
        <w:t>（填写正本或副本）</w:t>
      </w:r>
    </w:p>
    <w:p>
      <w:pPr>
        <w:pStyle w:val="55"/>
        <w:widowControl w:val="0"/>
        <w:spacing w:line="360" w:lineRule="auto"/>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索引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二、投标分项报价表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四、招标文件规定的加分证明材料（若有）</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一、开标一览表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0"/>
        <w:gridCol w:w="2692"/>
        <w:gridCol w:w="2076"/>
        <w:gridCol w:w="24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0"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2692"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投标报价</w:t>
            </w:r>
          </w:p>
        </w:tc>
        <w:tc>
          <w:tcPr>
            <w:tcW w:w="2076"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w:t>
            </w:r>
          </w:p>
        </w:tc>
        <w:tc>
          <w:tcPr>
            <w:tcW w:w="24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692"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投标总价（大写金额）：</w:t>
            </w:r>
          </w:p>
        </w:tc>
        <w:tc>
          <w:tcPr>
            <w:tcW w:w="2076" w:type="dxa"/>
            <w:vAlign w:val="center"/>
          </w:tcPr>
          <w:p>
            <w:pPr>
              <w:spacing w:line="360" w:lineRule="auto"/>
              <w:jc w:val="center"/>
              <w:rPr>
                <w:rFonts w:asciiTheme="minorEastAsia" w:hAnsiTheme="minorEastAsia"/>
                <w:sz w:val="24"/>
                <w:szCs w:val="24"/>
              </w:rPr>
            </w:pPr>
          </w:p>
        </w:tc>
        <w:tc>
          <w:tcPr>
            <w:tcW w:w="2461"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a.&gt;投标报价的明细：详见《投标分项报价表》。</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692"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投标总价（大写金额）：</w:t>
            </w:r>
          </w:p>
        </w:tc>
        <w:tc>
          <w:tcPr>
            <w:tcW w:w="2076" w:type="dxa"/>
            <w:vAlign w:val="center"/>
          </w:tcPr>
          <w:p>
            <w:pPr>
              <w:spacing w:line="360" w:lineRule="auto"/>
              <w:jc w:val="center"/>
              <w:rPr>
                <w:rFonts w:asciiTheme="minorEastAsia" w:hAnsiTheme="minorEastAsia"/>
                <w:sz w:val="24"/>
                <w:szCs w:val="24"/>
              </w:rPr>
            </w:pPr>
          </w:p>
        </w:tc>
        <w:tc>
          <w:tcPr>
            <w:tcW w:w="2461" w:type="dxa"/>
            <w:vMerge w:val="continue"/>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1.1投标人应按照本表格式填写所投的采购包的“投标报价”。</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1.2本表中列示的“采购包”应与《投标分项报价表》中列示的“采购包”保持一致，即：若本表中列示的“采购包”为“1”时，《投标分项报价表》中列示的“采购包”亦应为“1”，以此类推。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1.3“大写金额”指“投标报价”应用“壹、贰、叁、肆、伍、陆、柒、捌、玖、拾、佰、仟、万、亿、元、角、分、零”等进行填写。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5"/>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二、投标分项报价表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Merge w:val="continue"/>
            <w:vAlign w:val="center"/>
          </w:tcPr>
          <w:p>
            <w:pPr>
              <w:spacing w:line="360" w:lineRule="auto"/>
              <w:jc w:val="center"/>
              <w:rPr>
                <w:rFonts w:asciiTheme="minorEastAsia" w:hAnsiTheme="minorEastAsia"/>
                <w:sz w:val="24"/>
                <w:szCs w:val="24"/>
              </w:rPr>
            </w:pPr>
          </w:p>
        </w:tc>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1.4同一采购包中，“单价（现场）”×“数量”=“总价（现场）”，全部品目号“总价（现场）”的合计金额应与《开标一览表》中相应采购包列示的“投标总价”保持一致。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1.5若招标文件要求投标人对“备品备件价格、专用工具价格、技术服务费、安装调试费、检验培训费、运输费、保险费、税收”等进行报价的，请在本表的“备注”项下填写。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rPr>
          <w:rFonts w:hint="default" w:asciiTheme="minorEastAsia" w:hAnsiTheme="minorEastAsia"/>
          <w:sz w:val="24"/>
          <w:szCs w:val="24"/>
        </w:r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三、招标文件规定的价格扣除证明材料（若有）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三-1优先类节能产品、环境标志产品价格扣除证明材料（若有）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三-1-①优先类节能产品、环境标志产品统计表（价格扣除适用，若有）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Theme="minorEastAsia" w:hAnsiTheme="minorEastAsia"/>
                <w:sz w:val="24"/>
                <w:szCs w:val="24"/>
              </w:rPr>
            </w:pPr>
          </w:p>
        </w:tc>
        <w:tc>
          <w:tcPr>
            <w:tcW w:w="7122" w:type="dxa"/>
            <w:gridSpan w:val="6"/>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货物名称</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pPr>
              <w:spacing w:line="360" w:lineRule="auto"/>
              <w:jc w:val="center"/>
              <w:rPr>
                <w:rFonts w:asciiTheme="minorEastAsia" w:hAnsiTheme="minorEastAsia"/>
                <w:sz w:val="24"/>
                <w:szCs w:val="24"/>
              </w:rPr>
            </w:pP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6"/>
            <w:vAlign w:val="center"/>
          </w:tcPr>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a.采购包内属于节能、环境标志产品的报价总金额：　　　　　；</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b.采购包投标总价（报价总金额）：　　　　　；</w:t>
            </w:r>
          </w:p>
          <w:p>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c.“采购包内属于节能、环境标志产品的报价总金额”占“采购包投标总价（报价总金额）”的比例（以%列示）：　　　　　；</w:t>
            </w: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1、对节能、环境标志产品计算价格扣除时，只依据电子投标文件“三-1-②优先类节能产品、环境标志产品证明材料（价格扣除适用，若有）”。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3.3投标人应按照招标文件要求认真统计、计算，否则评标委员会不予认定。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3.4若无节能、环境标志产品，不填写本表，否则，视为提供虚假材料。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三-1-②优先类节能产品、环境标志产品证明材料（价格扣除适用，若有）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三-2小型、微型企业产品等价格扣除证明材料（若有）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三-2-①中小企业声明函（价格扣除适用，若有）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中小企业声明函（货物）</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1.（标的名称），属于（采购文件中明确的所属行业）行业；制造商为（企业名称），从业人员　　　　　人，营业收入为　　　　　万元，资产总额为　　　　　万元</w:t>
      </w:r>
      <w:r>
        <w:rPr>
          <w:rFonts w:cs="宋体" w:asciiTheme="minorEastAsia" w:hAnsiTheme="minorEastAsia"/>
          <w:sz w:val="24"/>
          <w:szCs w:val="24"/>
          <w:vertAlign w:val="superscript"/>
        </w:rPr>
        <w:t>1</w:t>
      </w:r>
      <w:r>
        <w:rPr>
          <w:rFonts w:asciiTheme="minorEastAsia" w:hAnsiTheme="minorEastAsia"/>
          <w:sz w:val="24"/>
          <w:szCs w:val="24"/>
        </w:rPr>
        <w:t>，属于（中型企业、小型企业、微型企业）；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2.（标的名称），属于（采购文件中明确的所属行业）行业；制造商为（企业名称），从业人员　　　　　人，营业收入为　　　　　万元，资产总额为　　　　　万元，属于（中型企业、小型企业、微型企业）；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中小企业声明函（工程、服务）</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1.（标的名称），属于（采购文件中明确的所属行业）；承建（承接）企业为（企业名称），从业人员　　　　　人，营业收入为　　　　　万元，资产总额为　　　　　万元</w:t>
      </w:r>
      <w:r>
        <w:rPr>
          <w:rFonts w:cs="宋体" w:asciiTheme="minorEastAsia" w:hAnsiTheme="minorEastAsia"/>
          <w:sz w:val="24"/>
          <w:szCs w:val="24"/>
          <w:vertAlign w:val="superscript"/>
        </w:rPr>
        <w:t>1</w:t>
      </w:r>
      <w:r>
        <w:rPr>
          <w:rFonts w:asciiTheme="minorEastAsia" w:hAnsiTheme="minorEastAsia"/>
          <w:sz w:val="24"/>
          <w:szCs w:val="24"/>
        </w:rPr>
        <w:t>，属于（中型企业、小型企业、微型企业）；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2.（标的名称），属于（采购文件中明确的所属行业）；承建（承接）企业为（企业名称），从业人员　　　　　人，营业收入为　　　　　万元，资产总额为　　　　　万元，属于（中型企业、小型企业、微型企业）；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三-2-②小型、微型企业等证明材料（价格扣除适用，若有）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1、投标人应按照招标文件要求提供相应证明材料，证明材料应与《中小企业声明函》的内容相一致，否则视为《中小企业声明函》内容不真实。</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2、投标人为监狱企业的，根据其提供的由省级以上监狱管理局、戒毒管理局（含新疆生产建设兵团）出具的属于监狱企业的证明文件进行认定，监狱企业视同小型、微型企业。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55"/>
        <w:widowControl w:val="0"/>
        <w:spacing w:line="360" w:lineRule="auto"/>
        <w:rPr>
          <w:rFonts w:hint="default" w:asciiTheme="minorEastAsia" w:hAnsiTheme="minorEastAsia"/>
          <w:sz w:val="24"/>
          <w:szCs w:val="24"/>
        </w:rPr>
      </w:pP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5"/>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残疾人福利性单位声明函（价格扣除适用，若有）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监狱企业证明材料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三-3招标文件规定的其他价格扣除证明材料（若有）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四、招标文件规定的加分证明材料（若有）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四-1优先类节能产品、环境标志产品加分证明材料（若有）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四-1-①优先类节能产品、环境标志产品统计表（加分适用，若有）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Theme="minorEastAsia" w:hAnsiTheme="minorEastAsia"/>
                <w:sz w:val="24"/>
                <w:szCs w:val="24"/>
              </w:rPr>
            </w:pPr>
          </w:p>
        </w:tc>
        <w:tc>
          <w:tcPr>
            <w:tcW w:w="7122" w:type="dxa"/>
            <w:gridSpan w:val="6"/>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货物名称</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pPr>
              <w:spacing w:line="360" w:lineRule="auto"/>
              <w:jc w:val="center"/>
              <w:rPr>
                <w:rFonts w:asciiTheme="minorEastAsia" w:hAnsiTheme="minorEastAsia"/>
                <w:sz w:val="24"/>
                <w:szCs w:val="24"/>
              </w:rPr>
            </w:pPr>
          </w:p>
        </w:tc>
        <w:tc>
          <w:tcPr>
            <w:tcW w:w="1187"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1、对节能、环境标志产品计算价格扣除时，只依据电子投标文件“四-1-②优先类节能产品、环境标志产品加分证明材料（加分适用，若有）”。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3.3投标人应按照招标文件要求认真统计、计算，否则评标委员会不予认定。</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3.4若无节能、环境标志产品，不填写本表，否则，视为提供虚假材料。</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四-1-②优先类节能产品、环境标志产品证明材料（加分适用，若有）</w:t>
      </w:r>
    </w:p>
    <w:p>
      <w:pPr>
        <w:pStyle w:val="55"/>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四-2招标文件规定的其他加分证明材料（若有）</w:t>
      </w:r>
    </w:p>
    <w:p>
      <w:pPr>
        <w:pStyle w:val="55"/>
        <w:widowControl w:val="0"/>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若投标人可享受招标文件规定的除“优先类节能产品、环境标志产品加分”外的其他加分优惠，则投标人应按照招标文件要求提供相应证明材料。</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封面格式（技术商务部分）</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（技术商务部分）</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（填写正本或副本）</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5"/>
        <w:widowControl w:val="0"/>
        <w:spacing w:line="360" w:lineRule="auto"/>
        <w:ind w:firstLine="640" w:firstLineChars="200"/>
        <w:jc w:val="center"/>
        <w:rPr>
          <w:rFonts w:hint="default" w:asciiTheme="minorEastAsia" w:hAnsiTheme="minorEastAsia"/>
          <w:sz w:val="32"/>
          <w:szCs w:val="32"/>
        </w:rPr>
      </w:pP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5"/>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
      <w:pPr>
        <w:sectPr>
          <w:pgSz w:w="11906" w:h="16838"/>
          <w:pgMar w:top="1418" w:right="1418" w:bottom="1418" w:left="1418" w:header="851" w:footer="992" w:gutter="0"/>
          <w:cols w:space="425" w:num="1"/>
          <w:docGrid w:type="lines" w:linePitch="312" w:charSpace="0"/>
        </w:sect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索引</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pPr>
        <w:pStyle w:val="55"/>
        <w:widowControl w:val="0"/>
        <w:spacing w:line="360" w:lineRule="auto"/>
        <w:rPr>
          <w:rFonts w:hint="default" w:asciiTheme="minorEastAsia" w:hAnsiTheme="minorEastAsia"/>
          <w:sz w:val="24"/>
          <w:szCs w:val="24"/>
        </w:rPr>
      </w:pP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一、标的说明一览表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continue"/>
            <w:vAlign w:val="center"/>
          </w:tcPr>
          <w:p>
            <w:pPr>
              <w:spacing w:line="360" w:lineRule="auto"/>
              <w:jc w:val="center"/>
              <w:rPr>
                <w:rFonts w:asciiTheme="minorEastAsia" w:hAnsiTheme="minorEastAsia"/>
                <w:sz w:val="24"/>
                <w:szCs w:val="24"/>
              </w:rPr>
            </w:pPr>
          </w:p>
        </w:tc>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二、技术和服务要求响应表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pPr>
              <w:spacing w:line="360" w:lineRule="auto"/>
              <w:jc w:val="center"/>
              <w:rPr>
                <w:rFonts w:asciiTheme="minorEastAsia" w:hAnsiTheme="minorEastAsia"/>
                <w:sz w:val="24"/>
                <w:szCs w:val="24"/>
              </w:rPr>
            </w:pP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三、商务条件响应表</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pPr>
              <w:spacing w:line="360" w:lineRule="auto"/>
              <w:jc w:val="center"/>
              <w:rPr>
                <w:rFonts w:asciiTheme="minorEastAsia" w:hAnsiTheme="minorEastAsia"/>
                <w:sz w:val="24"/>
                <w:szCs w:val="24"/>
              </w:rPr>
            </w:pPr>
          </w:p>
        </w:tc>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bl>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5"/>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5"/>
        <w:widowControl w:val="0"/>
        <w:spacing w:line="360" w:lineRule="auto"/>
        <w:ind w:firstLine="480" w:firstLineChars="200"/>
        <w:rPr>
          <w:rFonts w:hint="default" w:asciiTheme="minorEastAsia" w:hAnsiTheme="minorEastAsia"/>
          <w:sz w:val="24"/>
          <w:szCs w:val="24"/>
        </w:rPr>
      </w:pPr>
    </w:p>
    <w:p>
      <w:pPr>
        <w:pStyle w:val="55"/>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5"/>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四、投标人提交的其他资料（若有）</w:t>
      </w:r>
    </w:p>
    <w:p>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pPr>
        <w:pStyle w:val="55"/>
        <w:widowControl w:val="0"/>
        <w:spacing w:line="360" w:lineRule="auto"/>
        <w:ind w:firstLine="480" w:firstLineChars="200"/>
        <w:rPr>
          <w:rFonts w:hint="default" w:asciiTheme="minorEastAsia" w:hAnsiTheme="minorEastAsia"/>
          <w:sz w:val="24"/>
          <w:szCs w:val="24"/>
        </w:rPr>
      </w:pPr>
    </w:p>
    <w:p>
      <w:pPr>
        <w:spacing w:line="360" w:lineRule="auto"/>
        <w:ind w:firstLine="480" w:firstLineChars="200"/>
        <w:rPr>
          <w:rFonts w:asciiTheme="minorEastAsia" w:hAnsiTheme="minorEastAsia"/>
          <w:sz w:val="24"/>
          <w:szCs w:val="24"/>
        </w:rPr>
      </w:pPr>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38</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115</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80</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115</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64</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115</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115</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57</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iY2RiZWIwNjU2Mjk4NTVjMzcxNWQ4ZmVkMzM5ODYifQ=="/>
  </w:docVars>
  <w:rsids>
    <w:rsidRoot w:val="00C377A6"/>
    <w:rsid w:val="00000EB7"/>
    <w:rsid w:val="00007EAA"/>
    <w:rsid w:val="00010A69"/>
    <w:rsid w:val="00011089"/>
    <w:rsid w:val="00014914"/>
    <w:rsid w:val="00015FDA"/>
    <w:rsid w:val="00017248"/>
    <w:rsid w:val="000179A6"/>
    <w:rsid w:val="00023562"/>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66CC8"/>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185D"/>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0786B"/>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3239"/>
    <w:rsid w:val="0029702E"/>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44D"/>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3EBE"/>
    <w:rsid w:val="00346752"/>
    <w:rsid w:val="003473A0"/>
    <w:rsid w:val="00347BEC"/>
    <w:rsid w:val="00350FB7"/>
    <w:rsid w:val="00352533"/>
    <w:rsid w:val="00352DEF"/>
    <w:rsid w:val="00355656"/>
    <w:rsid w:val="00362BA5"/>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5DEC"/>
    <w:rsid w:val="00426203"/>
    <w:rsid w:val="00430713"/>
    <w:rsid w:val="00431350"/>
    <w:rsid w:val="00435169"/>
    <w:rsid w:val="004351AA"/>
    <w:rsid w:val="00436A0E"/>
    <w:rsid w:val="004404B8"/>
    <w:rsid w:val="0044165F"/>
    <w:rsid w:val="004434B4"/>
    <w:rsid w:val="004437B8"/>
    <w:rsid w:val="00453736"/>
    <w:rsid w:val="004548BE"/>
    <w:rsid w:val="004566C6"/>
    <w:rsid w:val="00456E70"/>
    <w:rsid w:val="00461D53"/>
    <w:rsid w:val="00461FEF"/>
    <w:rsid w:val="00463974"/>
    <w:rsid w:val="00464654"/>
    <w:rsid w:val="00467246"/>
    <w:rsid w:val="00472878"/>
    <w:rsid w:val="004733A6"/>
    <w:rsid w:val="0047451C"/>
    <w:rsid w:val="00474C24"/>
    <w:rsid w:val="004765B4"/>
    <w:rsid w:val="004775FD"/>
    <w:rsid w:val="00481A28"/>
    <w:rsid w:val="00482190"/>
    <w:rsid w:val="004836EE"/>
    <w:rsid w:val="00484D04"/>
    <w:rsid w:val="004855C1"/>
    <w:rsid w:val="004862EF"/>
    <w:rsid w:val="004913DC"/>
    <w:rsid w:val="004914E2"/>
    <w:rsid w:val="0049472B"/>
    <w:rsid w:val="00494DC2"/>
    <w:rsid w:val="00496BBA"/>
    <w:rsid w:val="004976A8"/>
    <w:rsid w:val="004A6AB8"/>
    <w:rsid w:val="004B01AD"/>
    <w:rsid w:val="004B150B"/>
    <w:rsid w:val="004B3435"/>
    <w:rsid w:val="004B5468"/>
    <w:rsid w:val="004B6D62"/>
    <w:rsid w:val="004B771E"/>
    <w:rsid w:val="004C1CC7"/>
    <w:rsid w:val="004C3A90"/>
    <w:rsid w:val="004C71F1"/>
    <w:rsid w:val="004D0AEF"/>
    <w:rsid w:val="004D20EB"/>
    <w:rsid w:val="004E2617"/>
    <w:rsid w:val="004E28F8"/>
    <w:rsid w:val="004E5994"/>
    <w:rsid w:val="004F4941"/>
    <w:rsid w:val="004F5E98"/>
    <w:rsid w:val="005002C3"/>
    <w:rsid w:val="00501FF9"/>
    <w:rsid w:val="00503814"/>
    <w:rsid w:val="005049A5"/>
    <w:rsid w:val="00504A56"/>
    <w:rsid w:val="005060BE"/>
    <w:rsid w:val="0051113C"/>
    <w:rsid w:val="0051161E"/>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31B"/>
    <w:rsid w:val="00593B80"/>
    <w:rsid w:val="00593F14"/>
    <w:rsid w:val="00595351"/>
    <w:rsid w:val="005A0586"/>
    <w:rsid w:val="005A6869"/>
    <w:rsid w:val="005A6D7E"/>
    <w:rsid w:val="005B407E"/>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077C5"/>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5C20"/>
    <w:rsid w:val="0087633E"/>
    <w:rsid w:val="008843DA"/>
    <w:rsid w:val="008847DD"/>
    <w:rsid w:val="0088641D"/>
    <w:rsid w:val="00886A12"/>
    <w:rsid w:val="00890C16"/>
    <w:rsid w:val="00891EB6"/>
    <w:rsid w:val="0089671D"/>
    <w:rsid w:val="008976D3"/>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2CB9"/>
    <w:rsid w:val="008F738A"/>
    <w:rsid w:val="00902937"/>
    <w:rsid w:val="00913D95"/>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65EAA"/>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BD8"/>
    <w:rsid w:val="00A9170A"/>
    <w:rsid w:val="00A91B9C"/>
    <w:rsid w:val="00A97623"/>
    <w:rsid w:val="00AA08C6"/>
    <w:rsid w:val="00AA1DEE"/>
    <w:rsid w:val="00AA1E37"/>
    <w:rsid w:val="00AA4759"/>
    <w:rsid w:val="00AA579F"/>
    <w:rsid w:val="00AA72D0"/>
    <w:rsid w:val="00AC0199"/>
    <w:rsid w:val="00AC4249"/>
    <w:rsid w:val="00AD2807"/>
    <w:rsid w:val="00AD4798"/>
    <w:rsid w:val="00AD56BD"/>
    <w:rsid w:val="00AD6AD5"/>
    <w:rsid w:val="00AE0239"/>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128B"/>
    <w:rsid w:val="00BB218C"/>
    <w:rsid w:val="00BB443C"/>
    <w:rsid w:val="00BB5CDF"/>
    <w:rsid w:val="00BC0319"/>
    <w:rsid w:val="00BC0408"/>
    <w:rsid w:val="00BC17F2"/>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665B"/>
    <w:rsid w:val="00C1721E"/>
    <w:rsid w:val="00C174C3"/>
    <w:rsid w:val="00C178D0"/>
    <w:rsid w:val="00C2042E"/>
    <w:rsid w:val="00C21466"/>
    <w:rsid w:val="00C21900"/>
    <w:rsid w:val="00C25166"/>
    <w:rsid w:val="00C251D6"/>
    <w:rsid w:val="00C31D32"/>
    <w:rsid w:val="00C32D43"/>
    <w:rsid w:val="00C35C5D"/>
    <w:rsid w:val="00C377A6"/>
    <w:rsid w:val="00C40545"/>
    <w:rsid w:val="00C41415"/>
    <w:rsid w:val="00C41E26"/>
    <w:rsid w:val="00C45444"/>
    <w:rsid w:val="00C50C6A"/>
    <w:rsid w:val="00C50E36"/>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1A76"/>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7655D"/>
    <w:rsid w:val="00D833CB"/>
    <w:rsid w:val="00D8364D"/>
    <w:rsid w:val="00D8449C"/>
    <w:rsid w:val="00D85334"/>
    <w:rsid w:val="00D85557"/>
    <w:rsid w:val="00D85600"/>
    <w:rsid w:val="00D8734E"/>
    <w:rsid w:val="00D906FC"/>
    <w:rsid w:val="00D91013"/>
    <w:rsid w:val="00D91124"/>
    <w:rsid w:val="00D94E14"/>
    <w:rsid w:val="00DA0B8A"/>
    <w:rsid w:val="00DA3D04"/>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136C4"/>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1B97"/>
    <w:rsid w:val="00FA2341"/>
    <w:rsid w:val="00FA28DB"/>
    <w:rsid w:val="00FA30E3"/>
    <w:rsid w:val="00FA5935"/>
    <w:rsid w:val="00FA6564"/>
    <w:rsid w:val="00FA7A00"/>
    <w:rsid w:val="00FA7D17"/>
    <w:rsid w:val="00FB1F5D"/>
    <w:rsid w:val="00FB2737"/>
    <w:rsid w:val="00FB2CAD"/>
    <w:rsid w:val="00FB2D48"/>
    <w:rsid w:val="00FB4527"/>
    <w:rsid w:val="00FB4DA7"/>
    <w:rsid w:val="00FB564A"/>
    <w:rsid w:val="00FB5FDC"/>
    <w:rsid w:val="00FB60E0"/>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2A02D27"/>
    <w:rsid w:val="02E80AFB"/>
    <w:rsid w:val="03045253"/>
    <w:rsid w:val="03D75CD6"/>
    <w:rsid w:val="04655EEE"/>
    <w:rsid w:val="04BF3FCA"/>
    <w:rsid w:val="0627470C"/>
    <w:rsid w:val="06BC34E5"/>
    <w:rsid w:val="07100621"/>
    <w:rsid w:val="07593D76"/>
    <w:rsid w:val="08FA6E92"/>
    <w:rsid w:val="09A458A8"/>
    <w:rsid w:val="09AF00ED"/>
    <w:rsid w:val="09C474A0"/>
    <w:rsid w:val="0A173A74"/>
    <w:rsid w:val="0A977223"/>
    <w:rsid w:val="0B846A84"/>
    <w:rsid w:val="0C375499"/>
    <w:rsid w:val="0C9E5EA4"/>
    <w:rsid w:val="0D383320"/>
    <w:rsid w:val="0D7868C1"/>
    <w:rsid w:val="0E1755A8"/>
    <w:rsid w:val="0F6739E9"/>
    <w:rsid w:val="104D4694"/>
    <w:rsid w:val="10AC13BA"/>
    <w:rsid w:val="112A6783"/>
    <w:rsid w:val="126A2DE0"/>
    <w:rsid w:val="126F08F1"/>
    <w:rsid w:val="12887C05"/>
    <w:rsid w:val="13C133CE"/>
    <w:rsid w:val="13CC06AF"/>
    <w:rsid w:val="14C64643"/>
    <w:rsid w:val="14F11A2B"/>
    <w:rsid w:val="16842491"/>
    <w:rsid w:val="16ED1BE3"/>
    <w:rsid w:val="174A2E47"/>
    <w:rsid w:val="190653E0"/>
    <w:rsid w:val="19C71013"/>
    <w:rsid w:val="1A564145"/>
    <w:rsid w:val="1A6B4FB8"/>
    <w:rsid w:val="1A745634"/>
    <w:rsid w:val="1D51464C"/>
    <w:rsid w:val="1D7B2E19"/>
    <w:rsid w:val="1DC05701"/>
    <w:rsid w:val="1EEE342F"/>
    <w:rsid w:val="1F443106"/>
    <w:rsid w:val="22B70195"/>
    <w:rsid w:val="233F5231"/>
    <w:rsid w:val="23C87E61"/>
    <w:rsid w:val="24236284"/>
    <w:rsid w:val="24747FE9"/>
    <w:rsid w:val="25414BEB"/>
    <w:rsid w:val="255B26F6"/>
    <w:rsid w:val="25E901E7"/>
    <w:rsid w:val="26852AF9"/>
    <w:rsid w:val="27DF19ED"/>
    <w:rsid w:val="28AE68B2"/>
    <w:rsid w:val="28E1457C"/>
    <w:rsid w:val="2927387C"/>
    <w:rsid w:val="2987256D"/>
    <w:rsid w:val="2B0D3268"/>
    <w:rsid w:val="2D0D36B6"/>
    <w:rsid w:val="2D173C07"/>
    <w:rsid w:val="2DDD4010"/>
    <w:rsid w:val="2DEF295D"/>
    <w:rsid w:val="2E911A02"/>
    <w:rsid w:val="2EF0595B"/>
    <w:rsid w:val="2F4C4FB3"/>
    <w:rsid w:val="2F5E1C7C"/>
    <w:rsid w:val="2F6263FB"/>
    <w:rsid w:val="2FCD1886"/>
    <w:rsid w:val="2FCF2577"/>
    <w:rsid w:val="316E0008"/>
    <w:rsid w:val="317732C2"/>
    <w:rsid w:val="31E3230A"/>
    <w:rsid w:val="31F7189E"/>
    <w:rsid w:val="31F76A4E"/>
    <w:rsid w:val="320F65F3"/>
    <w:rsid w:val="32300E78"/>
    <w:rsid w:val="32DD76BC"/>
    <w:rsid w:val="33806924"/>
    <w:rsid w:val="34DF14AF"/>
    <w:rsid w:val="3701529A"/>
    <w:rsid w:val="375C5DD7"/>
    <w:rsid w:val="37F10FFB"/>
    <w:rsid w:val="38702C51"/>
    <w:rsid w:val="39697DE1"/>
    <w:rsid w:val="39B53A46"/>
    <w:rsid w:val="3AE3423E"/>
    <w:rsid w:val="3AEE45A6"/>
    <w:rsid w:val="3B5652C9"/>
    <w:rsid w:val="3BD72EE0"/>
    <w:rsid w:val="3CBB45AF"/>
    <w:rsid w:val="3D0970E5"/>
    <w:rsid w:val="3D3F470F"/>
    <w:rsid w:val="3DAA5F01"/>
    <w:rsid w:val="3EBA1B67"/>
    <w:rsid w:val="3ED317A7"/>
    <w:rsid w:val="3F4F7231"/>
    <w:rsid w:val="40953BCC"/>
    <w:rsid w:val="40D7052A"/>
    <w:rsid w:val="41322966"/>
    <w:rsid w:val="427C7633"/>
    <w:rsid w:val="4368266F"/>
    <w:rsid w:val="437B7378"/>
    <w:rsid w:val="439F4336"/>
    <w:rsid w:val="44451756"/>
    <w:rsid w:val="450A685F"/>
    <w:rsid w:val="45603F46"/>
    <w:rsid w:val="456A0FF9"/>
    <w:rsid w:val="457A4B71"/>
    <w:rsid w:val="45C67B21"/>
    <w:rsid w:val="45DC7A2D"/>
    <w:rsid w:val="460D50F8"/>
    <w:rsid w:val="46170FF4"/>
    <w:rsid w:val="47523D62"/>
    <w:rsid w:val="479C4FDD"/>
    <w:rsid w:val="48082EDA"/>
    <w:rsid w:val="489017A2"/>
    <w:rsid w:val="49EF3AE4"/>
    <w:rsid w:val="4B0C5718"/>
    <w:rsid w:val="4B3C11F9"/>
    <w:rsid w:val="4C142AA4"/>
    <w:rsid w:val="4C4D5626"/>
    <w:rsid w:val="4C891555"/>
    <w:rsid w:val="4DE01EA0"/>
    <w:rsid w:val="4E104746"/>
    <w:rsid w:val="4E465CA3"/>
    <w:rsid w:val="4EBC2D7F"/>
    <w:rsid w:val="4F6D44D3"/>
    <w:rsid w:val="4FA77EA5"/>
    <w:rsid w:val="4FE27D8A"/>
    <w:rsid w:val="50787247"/>
    <w:rsid w:val="50F0381E"/>
    <w:rsid w:val="527F3531"/>
    <w:rsid w:val="529645B8"/>
    <w:rsid w:val="52F60FC2"/>
    <w:rsid w:val="53247090"/>
    <w:rsid w:val="537806AC"/>
    <w:rsid w:val="55A430F8"/>
    <w:rsid w:val="56871EF4"/>
    <w:rsid w:val="57954FEE"/>
    <w:rsid w:val="59575D79"/>
    <w:rsid w:val="59804D8A"/>
    <w:rsid w:val="59A67D6D"/>
    <w:rsid w:val="5AF26F96"/>
    <w:rsid w:val="5B3B7B58"/>
    <w:rsid w:val="5B9E2042"/>
    <w:rsid w:val="5C676152"/>
    <w:rsid w:val="5E54462F"/>
    <w:rsid w:val="604E6F13"/>
    <w:rsid w:val="643538A6"/>
    <w:rsid w:val="64F8789F"/>
    <w:rsid w:val="653B695D"/>
    <w:rsid w:val="655255C5"/>
    <w:rsid w:val="65D8322D"/>
    <w:rsid w:val="66C033D1"/>
    <w:rsid w:val="67073DC9"/>
    <w:rsid w:val="670B5813"/>
    <w:rsid w:val="671F2063"/>
    <w:rsid w:val="67F018E6"/>
    <w:rsid w:val="68EA4655"/>
    <w:rsid w:val="6C7B1D59"/>
    <w:rsid w:val="6E6B3486"/>
    <w:rsid w:val="6EAE5472"/>
    <w:rsid w:val="7035580F"/>
    <w:rsid w:val="70435745"/>
    <w:rsid w:val="708E757A"/>
    <w:rsid w:val="709E4267"/>
    <w:rsid w:val="7112089F"/>
    <w:rsid w:val="71410EBF"/>
    <w:rsid w:val="717B38CD"/>
    <w:rsid w:val="719910C4"/>
    <w:rsid w:val="71A462ED"/>
    <w:rsid w:val="71FC08B6"/>
    <w:rsid w:val="74100A4D"/>
    <w:rsid w:val="76C86A8A"/>
    <w:rsid w:val="771A1486"/>
    <w:rsid w:val="77366005"/>
    <w:rsid w:val="783F5401"/>
    <w:rsid w:val="78972318"/>
    <w:rsid w:val="79515378"/>
    <w:rsid w:val="79E21538"/>
    <w:rsid w:val="7A690F96"/>
    <w:rsid w:val="7AAC4F5C"/>
    <w:rsid w:val="7BA04DC3"/>
    <w:rsid w:val="7C2C729B"/>
    <w:rsid w:val="7E19791E"/>
    <w:rsid w:val="7E5163A9"/>
    <w:rsid w:val="7E66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2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7">
    <w:name w:val="heading 5"/>
    <w:basedOn w:val="1"/>
    <w:next w:val="1"/>
    <w:link w:val="2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8">
    <w:name w:val="heading 6"/>
    <w:basedOn w:val="1"/>
    <w:next w:val="1"/>
    <w:link w:val="30"/>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9">
    <w:name w:val="Document Map"/>
    <w:basedOn w:val="1"/>
    <w:link w:val="43"/>
    <w:unhideWhenUsed/>
    <w:qFormat/>
    <w:uiPriority w:val="0"/>
    <w:rPr>
      <w:rFonts w:ascii="宋体" w:eastAsia="宋体"/>
      <w:sz w:val="18"/>
      <w:szCs w:val="18"/>
    </w:rPr>
  </w:style>
  <w:style w:type="paragraph" w:styleId="10">
    <w:name w:val="annotation text"/>
    <w:basedOn w:val="1"/>
    <w:link w:val="45"/>
    <w:qFormat/>
    <w:uiPriority w:val="99"/>
    <w:pPr>
      <w:jc w:val="left"/>
    </w:pPr>
    <w:rPr>
      <w:rFonts w:ascii="Times New Roman" w:hAnsi="Times New Roman" w:eastAsia="宋体" w:cs="Times New Roman"/>
      <w:szCs w:val="24"/>
    </w:rPr>
  </w:style>
  <w:style w:type="paragraph" w:styleId="11">
    <w:name w:val="Balloon Text"/>
    <w:basedOn w:val="1"/>
    <w:link w:val="44"/>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52"/>
    <w:semiHidden/>
    <w:unhideWhenUsed/>
    <w:qFormat/>
    <w:uiPriority w:val="99"/>
    <w:rPr>
      <w:rFonts w:asciiTheme="minorHAnsi" w:hAnsiTheme="minorHAnsi" w:eastAsiaTheme="minorEastAsia" w:cstheme="minorBidi"/>
      <w:b/>
      <w:bCs/>
      <w:szCs w:val="22"/>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qFormat/>
    <w:uiPriority w:val="99"/>
    <w:rPr>
      <w:sz w:val="21"/>
      <w:szCs w:val="21"/>
    </w:rPr>
  </w:style>
  <w:style w:type="character" w:customStyle="1" w:styleId="24">
    <w:name w:val="页眉 字符"/>
    <w:basedOn w:val="20"/>
    <w:link w:val="13"/>
    <w:qFormat/>
    <w:uiPriority w:val="0"/>
    <w:rPr>
      <w:sz w:val="18"/>
      <w:szCs w:val="18"/>
    </w:rPr>
  </w:style>
  <w:style w:type="character" w:customStyle="1" w:styleId="25">
    <w:name w:val="页脚 字符"/>
    <w:basedOn w:val="20"/>
    <w:link w:val="12"/>
    <w:qFormat/>
    <w:uiPriority w:val="0"/>
    <w:rPr>
      <w:sz w:val="18"/>
      <w:szCs w:val="18"/>
    </w:rPr>
  </w:style>
  <w:style w:type="character" w:customStyle="1" w:styleId="26">
    <w:name w:val="标题 1 字符"/>
    <w:basedOn w:val="20"/>
    <w:link w:val="3"/>
    <w:qFormat/>
    <w:uiPriority w:val="9"/>
    <w:rPr>
      <w:rFonts w:ascii="宋体" w:hAnsi="宋体" w:eastAsia="宋体" w:cs="宋体"/>
      <w:b/>
      <w:bCs/>
      <w:kern w:val="36"/>
      <w:sz w:val="48"/>
      <w:szCs w:val="48"/>
    </w:rPr>
  </w:style>
  <w:style w:type="character" w:customStyle="1" w:styleId="27">
    <w:name w:val="标题 3 字符"/>
    <w:basedOn w:val="20"/>
    <w:link w:val="5"/>
    <w:qFormat/>
    <w:uiPriority w:val="9"/>
    <w:rPr>
      <w:rFonts w:ascii="宋体" w:hAnsi="宋体" w:eastAsia="宋体" w:cs="宋体"/>
      <w:b/>
      <w:bCs/>
      <w:kern w:val="0"/>
      <w:sz w:val="27"/>
      <w:szCs w:val="27"/>
    </w:rPr>
  </w:style>
  <w:style w:type="character" w:customStyle="1" w:styleId="28">
    <w:name w:val="标题 4 字符"/>
    <w:basedOn w:val="20"/>
    <w:link w:val="6"/>
    <w:qFormat/>
    <w:uiPriority w:val="9"/>
    <w:rPr>
      <w:rFonts w:ascii="宋体" w:hAnsi="宋体" w:eastAsia="宋体" w:cs="宋体"/>
      <w:b/>
      <w:bCs/>
      <w:kern w:val="0"/>
      <w:sz w:val="24"/>
      <w:szCs w:val="24"/>
    </w:rPr>
  </w:style>
  <w:style w:type="character" w:customStyle="1" w:styleId="29">
    <w:name w:val="标题 5 字符"/>
    <w:basedOn w:val="20"/>
    <w:link w:val="7"/>
    <w:qFormat/>
    <w:uiPriority w:val="9"/>
    <w:rPr>
      <w:rFonts w:ascii="宋体" w:hAnsi="宋体" w:eastAsia="宋体" w:cs="宋体"/>
      <w:b/>
      <w:bCs/>
      <w:kern w:val="0"/>
      <w:sz w:val="20"/>
      <w:szCs w:val="20"/>
    </w:rPr>
  </w:style>
  <w:style w:type="character" w:customStyle="1" w:styleId="30">
    <w:name w:val="标题 6 字符"/>
    <w:basedOn w:val="20"/>
    <w:link w:val="8"/>
    <w:qFormat/>
    <w:uiPriority w:val="9"/>
    <w:rPr>
      <w:rFonts w:ascii="宋体" w:hAnsi="宋体" w:eastAsia="宋体" w:cs="宋体"/>
      <w:b/>
      <w:bCs/>
      <w:kern w:val="0"/>
      <w:sz w:val="15"/>
      <w:szCs w:val="15"/>
    </w:rPr>
  </w:style>
  <w:style w:type="character" w:customStyle="1" w:styleId="31">
    <w:name w:val="customize__projectname"/>
    <w:basedOn w:val="20"/>
    <w:qFormat/>
    <w:uiPriority w:val="0"/>
  </w:style>
  <w:style w:type="character" w:customStyle="1" w:styleId="32">
    <w:name w:val="customize_recordno"/>
    <w:basedOn w:val="20"/>
    <w:qFormat/>
    <w:uiPriority w:val="0"/>
  </w:style>
  <w:style w:type="character" w:customStyle="1" w:styleId="33">
    <w:name w:val="customize_project_code"/>
    <w:basedOn w:val="20"/>
    <w:qFormat/>
    <w:uiPriority w:val="0"/>
  </w:style>
  <w:style w:type="character" w:customStyle="1" w:styleId="34">
    <w:name w:val="customize_cgr"/>
    <w:basedOn w:val="20"/>
    <w:qFormat/>
    <w:uiPriority w:val="0"/>
  </w:style>
  <w:style w:type="character" w:customStyle="1" w:styleId="35">
    <w:name w:val="customize_agent"/>
    <w:basedOn w:val="20"/>
    <w:qFormat/>
    <w:uiPriority w:val="0"/>
  </w:style>
  <w:style w:type="character" w:customStyle="1" w:styleId="36">
    <w:name w:val="customize_cgrdz"/>
    <w:basedOn w:val="20"/>
    <w:qFormat/>
    <w:uiPriority w:val="0"/>
  </w:style>
  <w:style w:type="character" w:customStyle="1" w:styleId="37">
    <w:name w:val="customize_cgrdh"/>
    <w:basedOn w:val="20"/>
    <w:qFormat/>
    <w:uiPriority w:val="0"/>
  </w:style>
  <w:style w:type="character" w:customStyle="1" w:styleId="38">
    <w:name w:val="customize_agentadd"/>
    <w:basedOn w:val="20"/>
    <w:qFormat/>
    <w:uiPriority w:val="0"/>
  </w:style>
  <w:style w:type="character" w:customStyle="1" w:styleId="39">
    <w:name w:val="customize_agenttel"/>
    <w:basedOn w:val="20"/>
    <w:qFormat/>
    <w:uiPriority w:val="0"/>
  </w:style>
  <w:style w:type="character" w:customStyle="1" w:styleId="40">
    <w:name w:val="editlist"/>
    <w:basedOn w:val="20"/>
    <w:qFormat/>
    <w:uiPriority w:val="0"/>
  </w:style>
  <w:style w:type="character" w:customStyle="1" w:styleId="41">
    <w:name w:val="edittexttarea"/>
    <w:basedOn w:val="20"/>
    <w:qFormat/>
    <w:uiPriority w:val="0"/>
  </w:style>
  <w:style w:type="character" w:customStyle="1" w:styleId="42">
    <w:name w:val="editinput"/>
    <w:basedOn w:val="20"/>
    <w:qFormat/>
    <w:uiPriority w:val="0"/>
  </w:style>
  <w:style w:type="character" w:customStyle="1" w:styleId="43">
    <w:name w:val="文档结构图 字符"/>
    <w:basedOn w:val="20"/>
    <w:link w:val="9"/>
    <w:qFormat/>
    <w:uiPriority w:val="0"/>
    <w:rPr>
      <w:rFonts w:ascii="宋体" w:eastAsia="宋体"/>
      <w:sz w:val="18"/>
      <w:szCs w:val="18"/>
    </w:rPr>
  </w:style>
  <w:style w:type="character" w:customStyle="1" w:styleId="44">
    <w:name w:val="批注框文本 字符"/>
    <w:basedOn w:val="20"/>
    <w:link w:val="11"/>
    <w:semiHidden/>
    <w:qFormat/>
    <w:uiPriority w:val="99"/>
    <w:rPr>
      <w:sz w:val="18"/>
      <w:szCs w:val="18"/>
    </w:rPr>
  </w:style>
  <w:style w:type="character" w:customStyle="1" w:styleId="45">
    <w:name w:val="批注文字 字符"/>
    <w:basedOn w:val="20"/>
    <w:link w:val="10"/>
    <w:qFormat/>
    <w:uiPriority w:val="99"/>
    <w:rPr>
      <w:rFonts w:ascii="Times New Roman" w:hAnsi="Times New Roman" w:eastAsia="宋体" w:cs="Times New Roman"/>
      <w:szCs w:val="24"/>
    </w:rPr>
  </w:style>
  <w:style w:type="character" w:customStyle="1" w:styleId="46">
    <w:name w:val="标题 2 字符"/>
    <w:basedOn w:val="20"/>
    <w:link w:val="4"/>
    <w:qFormat/>
    <w:uiPriority w:val="9"/>
    <w:rPr>
      <w:rFonts w:asciiTheme="majorHAnsi" w:hAnsiTheme="majorHAnsi" w:eastAsiaTheme="majorEastAsia" w:cstheme="majorBidi"/>
      <w:b/>
      <w:bCs/>
      <w:sz w:val="32"/>
      <w:szCs w:val="32"/>
    </w:rPr>
  </w:style>
  <w:style w:type="paragraph" w:styleId="47">
    <w:name w:val="List Paragraph"/>
    <w:basedOn w:val="1"/>
    <w:qFormat/>
    <w:uiPriority w:val="34"/>
    <w:pPr>
      <w:ind w:firstLine="420" w:firstLineChars="200"/>
    </w:pPr>
  </w:style>
  <w:style w:type="paragraph" w:customStyle="1" w:styleId="48">
    <w:name w:val="TOC 标题1"/>
    <w:basedOn w:val="3"/>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9">
    <w:name w:val="网格型1"/>
    <w:basedOn w:val="1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
    <w:name w:val="网格型31"/>
    <w:basedOn w:val="1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
    <w:name w:val="网格型4"/>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批注主题 字符"/>
    <w:basedOn w:val="45"/>
    <w:link w:val="17"/>
    <w:semiHidden/>
    <w:qFormat/>
    <w:uiPriority w:val="99"/>
    <w:rPr>
      <w:rFonts w:ascii="Times New Roman" w:hAnsi="Times New Roman" w:eastAsia="宋体" w:cs="Times New Roman"/>
      <w:b/>
      <w:bCs/>
      <w:kern w:val="2"/>
      <w:sz w:val="21"/>
      <w:szCs w:val="22"/>
    </w:rPr>
  </w:style>
  <w:style w:type="paragraph" w:customStyle="1" w:styleId="53">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col-sm-6"/>
    <w:basedOn w:val="20"/>
    <w:qFormat/>
    <w:uiPriority w:val="0"/>
  </w:style>
  <w:style w:type="paragraph" w:customStyle="1" w:styleId="55">
    <w:name w:val="null3"/>
    <w:hidden/>
    <w:qFormat/>
    <w:uiPriority w:val="0"/>
    <w:rPr>
      <w:rFonts w:hint="eastAsia" w:asciiTheme="minorHAnsi" w:hAnsiTheme="minorHAnsi" w:eastAsiaTheme="minorEastAsia" w:cstheme="minorBidi"/>
      <w:lang w:val="en-US" w:eastAsia="zh-CN" w:bidi="ar-SA"/>
    </w:rPr>
  </w:style>
  <w:style w:type="character" w:customStyle="1" w:styleId="56">
    <w:name w:val="Anrede1IhrZeichen"/>
    <w:qFormat/>
    <w:uiPriority w:val="0"/>
    <w:rPr>
      <w:rFonts w:ascii="Arial" w:hAnsi="Arial"/>
      <w:sz w:val="20"/>
    </w:rPr>
  </w:style>
  <w:style w:type="paragraph" w:customStyle="1" w:styleId="5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22BE-096E-4E8A-B695-5BB82C7663BB}">
  <ds:schemaRefs/>
</ds:datastoreItem>
</file>

<file path=docProps/app.xml><?xml version="1.0" encoding="utf-8"?>
<Properties xmlns="http://schemas.openxmlformats.org/officeDocument/2006/extended-properties" xmlns:vt="http://schemas.openxmlformats.org/officeDocument/2006/docPropsVTypes">
  <Template>Normal.dotm</Template>
  <Company>cyu</Company>
  <Pages>113</Pages>
  <Words>9983</Words>
  <Characters>56908</Characters>
  <Lines>474</Lines>
  <Paragraphs>133</Paragraphs>
  <TotalTime>5</TotalTime>
  <ScaleCrop>false</ScaleCrop>
  <LinksUpToDate>false</LinksUpToDate>
  <CharactersWithSpaces>66758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2023-11-02T06:10:00Z</dcterms:created>
  <dc:creator>user</dc:creator>
  <cp:lastModifiedBy>H</cp:lastModifiedBy>
  <cp:lastPrinted>2022-08-21T02:58:00Z</cp:lastPrinted>
  <dcterms:modified xsi:type="dcterms:W3CDTF">2023-11-02T06:24:21Z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15C63A903586404AA816A087741E1540</vt:lpwstr>
  </property>
  <property fmtid="{D5CDD505-2E9C-101B-9397-08002B2CF9AE}" pid="4" name="MSIP_Label_ff6dbec8-95a8-4638-9f5f-bd076536645c_Enabled">
    <vt:lpwstr>true</vt:lpwstr>
  </property>
  <property fmtid="{D5CDD505-2E9C-101B-9397-08002B2CF9AE}" pid="5" name="MSIP_Label_ff6dbec8-95a8-4638-9f5f-bd076536645c_SetDate">
    <vt:lpwstr>2023-11-02T06:10:17Z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e719b498-baaa-4286-aa47-02f473537498</vt:lpwstr>
  </property>
  <property fmtid="{D5CDD505-2E9C-101B-9397-08002B2CF9AE}" pid="10" name="MSIP_Label_ff6dbec8-95a8-4638-9f5f-bd076536645c_ContentBits">
    <vt:lpwstr>0</vt:lpwstr>
  </property>
</Properties>
</file>