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32"/>
        </w:rPr>
      </w:pPr>
      <w:r>
        <w:rPr>
          <w:rFonts w:hint="eastAsia"/>
          <w:b/>
          <w:bCs/>
          <w:sz w:val="28"/>
          <w:szCs w:val="32"/>
        </w:rPr>
        <w:t>数字证书年费项目</w:t>
      </w:r>
    </w:p>
    <w:p/>
    <w:p>
      <w:pPr>
        <w:pStyle w:val="9"/>
        <w:numPr>
          <w:ilvl w:val="0"/>
          <w:numId w:val="1"/>
        </w:numPr>
        <w:ind w:firstLineChars="0"/>
      </w:pPr>
      <w:r>
        <w:rPr>
          <w:rFonts w:hint="eastAsia"/>
        </w:rPr>
        <w:t>总体要求：</w:t>
      </w:r>
    </w:p>
    <w:p>
      <w:pPr>
        <w:ind w:firstLine="630" w:firstLineChars="300"/>
      </w:pPr>
      <w:r>
        <w:rPr>
          <w:rFonts w:hint="eastAsia"/>
        </w:rPr>
        <w:t>随着医院信息化建设日趋成熟，HIS、LIS、PACS、RIS、电子病历等信息系统得到充分的应用，医院正在向信息化、现代化、数字化方向不断迈进，信息化高效的工作效率为患者带来了方便，也为医院带来了更直接的经济效益，同时也减轻</w:t>
      </w:r>
      <w:bookmarkStart w:id="0" w:name="_GoBack"/>
      <w:bookmarkEnd w:id="0"/>
      <w:r>
        <w:rPr>
          <w:rFonts w:hint="eastAsia"/>
        </w:rPr>
        <w:t>了医务人员的手工工作压力。</w:t>
      </w:r>
    </w:p>
    <w:p>
      <w:pPr>
        <w:ind w:firstLine="630" w:firstLineChars="300"/>
      </w:pPr>
      <w:r>
        <w:t>医院的日常工作会产生大量的文件，包括处方、医嘱、病史记录</w:t>
      </w:r>
      <w:r>
        <w:rPr>
          <w:rFonts w:hint="eastAsia"/>
        </w:rPr>
        <w:t>、健康档案</w:t>
      </w:r>
      <w:r>
        <w:t>等，每个文件都必须有责任医生的签名而产生法律效应。随着医院信息化管理系统的全面实施，每天要分类产生和存档的电子文件越来越多，</w:t>
      </w:r>
      <w:r>
        <w:rPr>
          <w:rFonts w:hint="eastAsia"/>
        </w:rPr>
        <w:t>如何</w:t>
      </w:r>
      <w:r>
        <w:t>利用电子签名技术，取代纸面文件签名的程序，保证电子文件的法律效力，保护医患双方的合法权益，已成为越来越多的医院管理层关注的问题。</w:t>
      </w:r>
    </w:p>
    <w:p>
      <w:pPr>
        <w:ind w:firstLine="630" w:firstLineChars="300"/>
      </w:pPr>
      <w:r>
        <w:rPr>
          <w:rFonts w:hint="eastAsia"/>
        </w:rPr>
        <w:t>《中华人民共和国电子签名法》于2005年4月1日起正式实施，令电子签名与手写签名和盖章具有同等法律效力。医疗机构的电子文书亦属于电子业务范畴。通俗地讲，电子签名就是在使用的电子文件中，能够识别交易人的身份，保证交易安全，起到与手写签名或者盖章同等作用的电子技术手段。我国《电子签名法》的立法重点是：确立电子签名的法律效力；规范电子签名的行为；明确认证机构的法律地位及认证程序；规定电子签名的安全保障措施。该法律的颁布实施，为医疗机构已经开展的电子病历和电子文书档案的研究和开发，创造了有利的法律环境。</w:t>
      </w:r>
    </w:p>
    <w:p>
      <w:pPr>
        <w:ind w:firstLine="630" w:firstLineChars="300"/>
      </w:pPr>
      <w:r>
        <w:rPr>
          <w:rFonts w:hint="eastAsia"/>
        </w:rPr>
        <w:t>2009年12月卫生部特制定颁布了《卫生系统电子认证服务管理办法》，该办法于2010年1月1日实施。《卫生系统电子认证服务管理办法》使得卫生系统中电子认证有法可依，有效保障卫生信息系统安全，规范卫生系统电子认证服务体系建设。</w:t>
      </w:r>
    </w:p>
    <w:p>
      <w:pPr>
        <w:ind w:firstLine="630" w:firstLineChars="300"/>
      </w:pPr>
      <w:r>
        <w:rPr>
          <w:rFonts w:hint="eastAsia"/>
        </w:rPr>
        <w:t>目前肿瘤医院</w:t>
      </w:r>
      <w:r>
        <w:rPr>
          <w:rFonts w:hint="eastAsia"/>
          <w:szCs w:val="24"/>
        </w:rPr>
        <w:t>已经</w:t>
      </w:r>
      <w:r>
        <w:rPr>
          <w:rFonts w:hint="eastAsia"/>
        </w:rPr>
        <w:t>结合本院实际情况，引入权威第三方电子认证，</w:t>
      </w:r>
      <w:r>
        <w:rPr>
          <w:rFonts w:hint="eastAsia"/>
          <w:szCs w:val="24"/>
        </w:rPr>
        <w:t>建设了较为全面的</w:t>
      </w:r>
      <w:r>
        <w:rPr>
          <w:rFonts w:hint="eastAsia"/>
        </w:rPr>
        <w:t>以</w:t>
      </w:r>
      <w:r>
        <w:t>PKI/CA</w:t>
      </w:r>
      <w:r>
        <w:rPr>
          <w:rFonts w:hint="eastAsia"/>
        </w:rPr>
        <w:t>为基础的应用安全防护和网络可信认证</w:t>
      </w:r>
      <w:r>
        <w:rPr>
          <w:rFonts w:hint="eastAsia"/>
          <w:szCs w:val="24"/>
        </w:rPr>
        <w:t>体系，设计了</w:t>
      </w:r>
      <w:r>
        <w:rPr>
          <w:rFonts w:hint="eastAsia"/>
        </w:rPr>
        <w:t>从服务内容、服务模式、服务流程、服务保障等方面符合全院特点的服务模式和流程等，为医院医护人员、就医患者和信息系统提供身份认证、数字签名、签名验证、电子签章、手写数字签名、可信时间戳、数据加解密等电子认证服务和应用安全保障能力支撑，为医疗信息系统实现可靠身份认证、授权管理、责任认定以及隐私保护提供基础。</w:t>
      </w:r>
    </w:p>
    <w:p>
      <w:pPr>
        <w:ind w:firstLine="630" w:firstLineChars="300"/>
      </w:pPr>
      <w:r>
        <w:rPr>
          <w:rFonts w:hint="eastAsia"/>
        </w:rPr>
        <w:t>本项目需要采购权威第三方电子认证服务机构的数字证书年费，为医护人员提供权威第三方电子认证服务，为医疗信息系统实现可靠身份认证、授权管理、责任认定以及隐私保护。</w:t>
      </w:r>
    </w:p>
    <w:p/>
    <w:p>
      <w:pPr>
        <w:pStyle w:val="9"/>
        <w:numPr>
          <w:ilvl w:val="0"/>
          <w:numId w:val="1"/>
        </w:numPr>
        <w:ind w:firstLineChars="0"/>
      </w:pPr>
      <w:r>
        <w:rPr>
          <w:rFonts w:hint="eastAsia"/>
        </w:rPr>
        <w:t>服务/运维对象及地点</w:t>
      </w:r>
    </w:p>
    <w:p>
      <w:pPr>
        <w:ind w:firstLine="630" w:firstLineChars="300"/>
      </w:pPr>
      <w:r>
        <w:rPr>
          <w:rFonts w:hint="eastAsia"/>
        </w:rPr>
        <w:t>1）服务/运维对象为医护人员，本项目主要采购医护人员数字证书服务，用于医护人员业务操作过程中的数字证书认证服务。</w:t>
      </w:r>
    </w:p>
    <w:p>
      <w:pPr>
        <w:ind w:firstLine="630" w:firstLineChars="300"/>
      </w:pPr>
      <w:r>
        <w:rPr>
          <w:rFonts w:hint="eastAsia"/>
        </w:rPr>
        <w:t>2）服务/运维对象为医院单位主体，本项目采购单位数字证书，用于单位主体电子签名时的数字证书认证服务。</w:t>
      </w:r>
    </w:p>
    <w:p>
      <w:pPr>
        <w:ind w:firstLine="630" w:firstLineChars="300"/>
      </w:pPr>
    </w:p>
    <w:p>
      <w:pPr>
        <w:pStyle w:val="9"/>
        <w:numPr>
          <w:ilvl w:val="0"/>
          <w:numId w:val="1"/>
        </w:numPr>
        <w:ind w:firstLineChars="0"/>
      </w:pPr>
      <w:r>
        <w:rPr>
          <w:rFonts w:hint="eastAsia"/>
        </w:rPr>
        <w:t>周期：2024年度一年。</w:t>
      </w:r>
    </w:p>
    <w:p/>
    <w:p>
      <w:pPr>
        <w:pStyle w:val="9"/>
        <w:numPr>
          <w:ilvl w:val="0"/>
          <w:numId w:val="1"/>
        </w:numPr>
        <w:ind w:firstLineChars="0"/>
      </w:pPr>
      <w:r>
        <w:rPr>
          <w:rFonts w:hint="eastAsia"/>
        </w:rPr>
        <w:t>服务及维护清单</w:t>
      </w:r>
    </w:p>
    <w:tbl>
      <w:tblPr>
        <w:tblStyle w:val="7"/>
        <w:tblW w:w="0" w:type="auto"/>
        <w:tblInd w:w="3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701"/>
        <w:gridCol w:w="1560"/>
        <w:gridCol w:w="1842"/>
        <w:gridCol w:w="734"/>
        <w:gridCol w:w="1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9"/>
              <w:ind w:firstLine="0" w:firstLineChars="0"/>
            </w:pPr>
            <w:r>
              <w:t>序号</w:t>
            </w:r>
          </w:p>
        </w:tc>
        <w:tc>
          <w:tcPr>
            <w:tcW w:w="1701" w:type="dxa"/>
          </w:tcPr>
          <w:p>
            <w:pPr>
              <w:pStyle w:val="9"/>
              <w:ind w:firstLine="0" w:firstLineChars="0"/>
            </w:pPr>
            <w:r>
              <w:rPr>
                <w:rFonts w:hint="eastAsia"/>
              </w:rPr>
              <w:t>一级</w:t>
            </w:r>
          </w:p>
        </w:tc>
        <w:tc>
          <w:tcPr>
            <w:tcW w:w="1560" w:type="dxa"/>
          </w:tcPr>
          <w:p>
            <w:pPr>
              <w:pStyle w:val="9"/>
              <w:ind w:firstLine="0" w:firstLineChars="0"/>
            </w:pPr>
            <w:r>
              <w:t>二级</w:t>
            </w:r>
          </w:p>
        </w:tc>
        <w:tc>
          <w:tcPr>
            <w:tcW w:w="1842" w:type="dxa"/>
          </w:tcPr>
          <w:p>
            <w:pPr>
              <w:pStyle w:val="9"/>
              <w:ind w:firstLine="0" w:firstLineChars="0"/>
            </w:pPr>
            <w:r>
              <w:t>描述</w:t>
            </w:r>
            <w:r>
              <w:rPr>
                <w:rFonts w:hint="eastAsia"/>
              </w:rPr>
              <w:t>/型号</w:t>
            </w:r>
          </w:p>
        </w:tc>
        <w:tc>
          <w:tcPr>
            <w:tcW w:w="734" w:type="dxa"/>
          </w:tcPr>
          <w:p>
            <w:pPr>
              <w:pStyle w:val="9"/>
              <w:ind w:firstLine="0" w:firstLineChars="0"/>
            </w:pPr>
            <w:r>
              <w:t>数量</w:t>
            </w:r>
          </w:p>
        </w:tc>
        <w:tc>
          <w:tcPr>
            <w:tcW w:w="1330" w:type="dxa"/>
          </w:tcPr>
          <w:p>
            <w:pPr>
              <w:pStyle w:val="9"/>
              <w:ind w:firstLine="0" w:firstLineChars="0"/>
            </w:pPr>
            <w:r>
              <w:t>指标重要性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9"/>
              <w:ind w:firstLine="0" w:firstLineChars="0"/>
            </w:pPr>
            <w:r>
              <w:rPr>
                <w:rFonts w:hint="eastAsia"/>
              </w:rPr>
              <w:t>1</w:t>
            </w:r>
          </w:p>
        </w:tc>
        <w:tc>
          <w:tcPr>
            <w:tcW w:w="1701" w:type="dxa"/>
          </w:tcPr>
          <w:p>
            <w:pPr>
              <w:pStyle w:val="9"/>
              <w:ind w:firstLine="0" w:firstLineChars="0"/>
            </w:pPr>
            <w:r>
              <w:rPr>
                <w:rFonts w:hint="eastAsia"/>
              </w:rPr>
              <w:t>数字证书服务</w:t>
            </w:r>
          </w:p>
        </w:tc>
        <w:tc>
          <w:tcPr>
            <w:tcW w:w="1560" w:type="dxa"/>
          </w:tcPr>
          <w:p>
            <w:pPr>
              <w:pStyle w:val="9"/>
              <w:ind w:firstLine="0" w:firstLineChars="0"/>
            </w:pPr>
            <w:r>
              <w:rPr>
                <w:rFonts w:hint="eastAsia"/>
              </w:rPr>
              <w:t>个人数字证书</w:t>
            </w:r>
          </w:p>
        </w:tc>
        <w:tc>
          <w:tcPr>
            <w:tcW w:w="1842" w:type="dxa"/>
          </w:tcPr>
          <w:p>
            <w:pPr>
              <w:pStyle w:val="9"/>
              <w:ind w:firstLine="0" w:firstLineChars="0"/>
            </w:pPr>
            <w:r>
              <w:rPr>
                <w:rFonts w:hint="eastAsia"/>
              </w:rPr>
              <w:t>个人数字证书</w:t>
            </w:r>
          </w:p>
        </w:tc>
        <w:tc>
          <w:tcPr>
            <w:tcW w:w="734" w:type="dxa"/>
          </w:tcPr>
          <w:p>
            <w:pPr>
              <w:pStyle w:val="9"/>
              <w:ind w:firstLine="0" w:firstLineChars="0"/>
            </w:pPr>
            <w:r>
              <w:rPr>
                <w:rFonts w:hint="eastAsia"/>
              </w:rPr>
              <w:t>5000</w:t>
            </w:r>
          </w:p>
        </w:tc>
        <w:tc>
          <w:tcPr>
            <w:tcW w:w="1330" w:type="dxa"/>
          </w:tcPr>
          <w:p>
            <w:pPr>
              <w:pStyle w:val="9"/>
              <w:ind w:firstLine="0" w:firstLineChars="0"/>
            </w:pPr>
            <w:r>
              <w:rPr>
                <w:rFonts w:hint="eastAsia"/>
              </w:rPr>
              <w:t>25元/个/年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9" w:type="dxa"/>
          </w:tcPr>
          <w:p>
            <w:pPr>
              <w:pStyle w:val="9"/>
              <w:ind w:firstLine="0" w:firstLineChars="0"/>
            </w:pPr>
            <w:r>
              <w:rPr>
                <w:rFonts w:hint="eastAsia"/>
              </w:rPr>
              <w:t>2</w:t>
            </w:r>
          </w:p>
        </w:tc>
        <w:tc>
          <w:tcPr>
            <w:tcW w:w="1701" w:type="dxa"/>
          </w:tcPr>
          <w:p>
            <w:pPr>
              <w:pStyle w:val="9"/>
              <w:ind w:firstLine="0" w:firstLineChars="0"/>
            </w:pPr>
            <w:r>
              <w:rPr>
                <w:rFonts w:hint="eastAsia"/>
              </w:rPr>
              <w:t>数字证书服务</w:t>
            </w:r>
          </w:p>
        </w:tc>
        <w:tc>
          <w:tcPr>
            <w:tcW w:w="1560" w:type="dxa"/>
          </w:tcPr>
          <w:p>
            <w:pPr>
              <w:pStyle w:val="9"/>
              <w:ind w:firstLine="0" w:firstLineChars="0"/>
            </w:pPr>
            <w:r>
              <w:rPr>
                <w:rFonts w:hint="eastAsia"/>
              </w:rPr>
              <w:t>单位数字证书</w:t>
            </w:r>
          </w:p>
        </w:tc>
        <w:tc>
          <w:tcPr>
            <w:tcW w:w="1842" w:type="dxa"/>
          </w:tcPr>
          <w:p>
            <w:pPr>
              <w:pStyle w:val="9"/>
              <w:ind w:firstLine="0" w:firstLineChars="0"/>
            </w:pPr>
            <w:r>
              <w:rPr>
                <w:rFonts w:hint="eastAsia"/>
              </w:rPr>
              <w:t>单位数字证书</w:t>
            </w:r>
          </w:p>
        </w:tc>
        <w:tc>
          <w:tcPr>
            <w:tcW w:w="734" w:type="dxa"/>
          </w:tcPr>
          <w:p>
            <w:pPr>
              <w:pStyle w:val="9"/>
              <w:ind w:firstLine="0" w:firstLineChars="0"/>
            </w:pPr>
          </w:p>
        </w:tc>
        <w:tc>
          <w:tcPr>
            <w:tcW w:w="1330" w:type="dxa"/>
          </w:tcPr>
          <w:p>
            <w:pPr>
              <w:pStyle w:val="9"/>
              <w:ind w:firstLine="0" w:firstLineChars="0"/>
            </w:pPr>
          </w:p>
        </w:tc>
      </w:tr>
    </w:tbl>
    <w:p>
      <w:pPr>
        <w:pStyle w:val="9"/>
        <w:numPr>
          <w:ilvl w:val="0"/>
          <w:numId w:val="1"/>
        </w:numPr>
        <w:ind w:firstLineChars="0"/>
      </w:pPr>
      <w:r>
        <w:rPr>
          <w:rFonts w:hint="eastAsia"/>
        </w:rPr>
        <w:t>日常服务/维护内容</w:t>
      </w:r>
    </w:p>
    <w:p>
      <w:pPr>
        <w:pStyle w:val="9"/>
        <w:numPr>
          <w:ilvl w:val="0"/>
          <w:numId w:val="2"/>
        </w:numPr>
        <w:ind w:firstLineChars="0"/>
      </w:pPr>
      <w:r>
        <w:rPr>
          <w:rFonts w:hint="eastAsia"/>
        </w:rPr>
        <w:t>数字证书的签发、更新、注销、变更、查询、验证服务。</w:t>
      </w:r>
    </w:p>
    <w:p>
      <w:pPr>
        <w:pStyle w:val="9"/>
        <w:numPr>
          <w:ilvl w:val="1"/>
          <w:numId w:val="2"/>
        </w:numPr>
        <w:ind w:firstLineChars="0"/>
      </w:pPr>
      <w:r>
        <w:rPr>
          <w:rFonts w:hint="eastAsia" w:ascii="宋体" w:hAnsi="宋体" w:cs="仿宋"/>
          <w:szCs w:val="21"/>
        </w:rPr>
        <w:t>数字证书格式符合卫生部《卫生系统电子认证服务规范（试行）》，符合卫生部《卫生系统数字证书格式规范（试行）》；</w:t>
      </w:r>
      <w:r>
        <w:rPr>
          <w:rFonts w:hint="eastAsia" w:ascii="宋体" w:hAnsi="宋体" w:cs="仿宋"/>
          <w:kern w:val="0"/>
          <w:szCs w:val="21"/>
        </w:rPr>
        <w:t>服务提供商须通过卫生部电子认证服务接入测试，并具有相关证明文件。</w:t>
      </w:r>
    </w:p>
    <w:p>
      <w:pPr>
        <w:pStyle w:val="9"/>
        <w:numPr>
          <w:ilvl w:val="1"/>
          <w:numId w:val="2"/>
        </w:numPr>
        <w:ind w:firstLineChars="0"/>
      </w:pPr>
      <w:r>
        <w:rPr>
          <w:rFonts w:hint="eastAsia" w:cs="宋体"/>
          <w:sz w:val="22"/>
          <w:szCs w:val="21"/>
        </w:rPr>
        <w:t>数字证书服务的提供方能够实现与上海市卫生健康行业市级电子认证平台对接，实现数字证书的注册、发放、备案等业务功能。</w:t>
      </w:r>
    </w:p>
    <w:p>
      <w:pPr>
        <w:pStyle w:val="9"/>
        <w:numPr>
          <w:ilvl w:val="1"/>
          <w:numId w:val="2"/>
        </w:numPr>
        <w:ind w:firstLineChars="0"/>
      </w:pPr>
      <w:r>
        <w:rPr>
          <w:rFonts w:hint="eastAsia"/>
        </w:rPr>
        <w:t>数字证书支持现有医院基于智能手机移动终端的签发、管理、扫码认证/签名、推送认证/签名应用场景。</w:t>
      </w:r>
    </w:p>
    <w:p>
      <w:pPr>
        <w:pStyle w:val="9"/>
        <w:numPr>
          <w:ilvl w:val="0"/>
          <w:numId w:val="2"/>
        </w:numPr>
        <w:ind w:firstLineChars="0"/>
      </w:pPr>
      <w:r>
        <w:rPr>
          <w:rFonts w:hint="eastAsia"/>
        </w:rPr>
        <w:t>数字证书发放使用过程的客户服务支持、使用指导培训、使用故障处理、应急措施处置服务。</w:t>
      </w:r>
    </w:p>
    <w:p>
      <w:pPr>
        <w:pStyle w:val="9"/>
        <w:numPr>
          <w:ilvl w:val="1"/>
          <w:numId w:val="2"/>
        </w:numPr>
        <w:ind w:firstLineChars="0"/>
      </w:pPr>
      <w:r>
        <w:rPr>
          <w:rFonts w:hint="eastAsia" w:ascii="仿宋_GB2312" w:eastAsia="仿宋_GB2312"/>
          <w:sz w:val="20"/>
          <w:szCs w:val="28"/>
        </w:rPr>
        <w:t>☆</w:t>
      </w:r>
      <w:r>
        <w:rPr>
          <w:rFonts w:hint="eastAsia"/>
        </w:rPr>
        <w:t>需要有本地化的客户服务团队提供日常的证书发放、使用服务支持。</w:t>
      </w:r>
    </w:p>
    <w:p>
      <w:pPr>
        <w:pStyle w:val="9"/>
        <w:numPr>
          <w:ilvl w:val="1"/>
          <w:numId w:val="2"/>
        </w:numPr>
        <w:ind w:firstLineChars="0"/>
      </w:pPr>
      <w:r>
        <w:rPr>
          <w:rFonts w:hint="eastAsia" w:ascii="仿宋_GB2312" w:eastAsia="仿宋_GB2312"/>
          <w:sz w:val="20"/>
          <w:szCs w:val="28"/>
        </w:rPr>
        <w:t>☆</w:t>
      </w:r>
      <w:r>
        <w:rPr>
          <w:rFonts w:hint="eastAsia"/>
        </w:rPr>
        <w:t>需要有本地化的技术支持团队提供日常的使用故障处理和应急处置服务。</w:t>
      </w:r>
    </w:p>
    <w:p>
      <w:pPr>
        <w:ind w:firstLine="630" w:firstLineChars="300"/>
      </w:pPr>
      <w:r>
        <w:rPr>
          <w:rFonts w:hint="eastAsia"/>
        </w:rPr>
        <w:t>3）</w:t>
      </w:r>
      <w:r>
        <w:rPr>
          <w:rFonts w:hint="eastAsia" w:ascii="仿宋_GB2312" w:eastAsia="仿宋_GB2312"/>
          <w:sz w:val="20"/>
          <w:szCs w:val="28"/>
        </w:rPr>
        <w:t>☆</w:t>
      </w:r>
      <w:r>
        <w:rPr>
          <w:rFonts w:hint="eastAsia"/>
        </w:rPr>
        <w:t>权威第三方电子认证签名举证服务：当医护人员使用数字证书服务完成电子签名后，如发生需要举证数据完整性和业务不可抵赖性场景时，可以提供权威第三方举证服务。</w:t>
      </w:r>
    </w:p>
    <w:p>
      <w:pPr>
        <w:ind w:firstLine="630" w:firstLineChars="300"/>
      </w:pPr>
    </w:p>
    <w:p>
      <w:pPr>
        <w:pStyle w:val="9"/>
        <w:numPr>
          <w:ilvl w:val="0"/>
          <w:numId w:val="1"/>
        </w:numPr>
        <w:ind w:firstLineChars="0"/>
      </w:pPr>
      <w:r>
        <w:rPr>
          <w:rFonts w:hint="eastAsia"/>
        </w:rPr>
        <w:t>功能完善及扩展性服务/维护</w:t>
      </w:r>
    </w:p>
    <w:p>
      <w:pPr>
        <w:ind w:firstLine="600" w:firstLineChars="300"/>
      </w:pPr>
      <w:r>
        <w:rPr>
          <w:rFonts w:hint="eastAsia" w:ascii="仿宋_GB2312" w:eastAsia="仿宋_GB2312"/>
          <w:sz w:val="20"/>
          <w:szCs w:val="28"/>
        </w:rPr>
        <w:t>#</w:t>
      </w:r>
      <w:r>
        <w:rPr>
          <w:rFonts w:hint="eastAsia"/>
        </w:rPr>
        <w:t>能扩展提供S</w:t>
      </w:r>
      <w:r>
        <w:t>SL</w:t>
      </w:r>
      <w:r>
        <w:rPr>
          <w:rFonts w:hint="eastAsia"/>
        </w:rPr>
        <w:t>站点证书，包括国际R</w:t>
      </w:r>
      <w:r>
        <w:t>SA</w:t>
      </w:r>
      <w:r>
        <w:rPr>
          <w:rFonts w:hint="eastAsia"/>
        </w:rPr>
        <w:t>证书和国密S</w:t>
      </w:r>
      <w:r>
        <w:t>M2</w:t>
      </w:r>
      <w:r>
        <w:rPr>
          <w:rFonts w:hint="eastAsia"/>
        </w:rPr>
        <w:t>证书，证书兼容性及安全性要求：RSA算法兼容目前主流的浏览器和平台，Firefox 6.0及以上、Android 4.0及以上、IOS 5及以上、java 6u45及以上、Windows XP及以上、OS X 10.9及以上，要求证书为国产自主品牌（提供商标注册证），具备自主管理、审核、签发证书的能力，审核数据不能出境，提供签发界面截图。以上两点必须同时具备。SM2算法兼容360安全浏览器、奇安信可信浏览器、海泰安全浏览器、赢达信安全浏览器。</w:t>
      </w:r>
    </w:p>
    <w:p>
      <w:pPr>
        <w:ind w:firstLine="600" w:firstLineChars="300"/>
      </w:pPr>
      <w:r>
        <w:rPr>
          <w:rFonts w:hint="eastAsia" w:ascii="仿宋_GB2312" w:eastAsia="仿宋_GB2312"/>
          <w:sz w:val="20"/>
          <w:szCs w:val="28"/>
        </w:rPr>
        <w:t>#</w:t>
      </w:r>
      <w:r>
        <w:rPr>
          <w:rFonts w:hint="eastAsia"/>
        </w:rPr>
        <w:t>提供SSL证书申请、审核、签发、安装、备份、故障处理的全程一对一VIP人工服务。</w:t>
      </w:r>
    </w:p>
    <w:p>
      <w:pPr>
        <w:ind w:firstLine="600" w:firstLineChars="300"/>
      </w:pPr>
      <w:r>
        <w:rPr>
          <w:rFonts w:hint="eastAsia" w:ascii="仿宋_GB2312" w:eastAsia="仿宋_GB2312"/>
          <w:sz w:val="20"/>
          <w:szCs w:val="28"/>
        </w:rPr>
        <w:t>#</w:t>
      </w:r>
      <w:r>
        <w:rPr>
          <w:rFonts w:hint="eastAsia"/>
        </w:rPr>
        <w:t>签发SSL证书的关键信息基础设施均应在国内有机房、数据库支持，保证整体证书签发业务可用性需大于99.95%。</w:t>
      </w:r>
    </w:p>
    <w:p>
      <w:pPr>
        <w:ind w:firstLine="600" w:firstLineChars="300"/>
      </w:pPr>
      <w:r>
        <w:rPr>
          <w:rFonts w:hint="eastAsia" w:ascii="仿宋_GB2312" w:eastAsia="仿宋_GB2312"/>
          <w:sz w:val="20"/>
          <w:szCs w:val="28"/>
        </w:rPr>
        <w:t>#</w:t>
      </w:r>
      <w:r>
        <w:rPr>
          <w:rFonts w:hint="eastAsia"/>
        </w:rPr>
        <w:t>SSL证书后台有OCSP\CRL不间断服务，支持国内的OCSP\CRL查询，服务均受国内网络优化，可用性需大于99.99%。</w:t>
      </w:r>
    </w:p>
    <w:p>
      <w:pPr>
        <w:ind w:firstLine="630" w:firstLineChars="300"/>
      </w:pPr>
    </w:p>
    <w:p>
      <w:pPr>
        <w:pStyle w:val="9"/>
        <w:numPr>
          <w:ilvl w:val="0"/>
          <w:numId w:val="1"/>
        </w:numPr>
        <w:ind w:firstLineChars="0"/>
      </w:pPr>
      <w:r>
        <w:rPr>
          <w:rFonts w:hint="eastAsia"/>
        </w:rPr>
        <w:t>服务/维护要求及方式</w:t>
      </w:r>
    </w:p>
    <w:p>
      <w:pPr>
        <w:ind w:firstLine="600" w:firstLineChars="300"/>
      </w:pPr>
      <w:r>
        <w:rPr>
          <w:rFonts w:hint="eastAsia" w:ascii="仿宋_GB2312" w:eastAsia="仿宋_GB2312"/>
          <w:sz w:val="20"/>
          <w:szCs w:val="28"/>
        </w:rPr>
        <w:t>△</w:t>
      </w:r>
      <w:r>
        <w:rPr>
          <w:rFonts w:hint="eastAsia"/>
        </w:rPr>
        <w:t>为本项目提供7*24小时的售后服务，建立一整套完善的签发部署备份的规范流程，集中一批高水准的业务支持团队，提供自签发、部署、技术咨询等全方位的技术支持服务。</w:t>
      </w:r>
    </w:p>
    <w:p>
      <w:pPr>
        <w:ind w:firstLine="630" w:firstLineChars="300"/>
      </w:pPr>
      <w:r>
        <w:rPr>
          <w:rFonts w:hint="eastAsia"/>
        </w:rPr>
        <w:t>服务形式主要有以下两种：</w:t>
      </w:r>
    </w:p>
    <w:p>
      <w:pPr>
        <w:ind w:firstLine="600" w:firstLineChars="300"/>
      </w:pPr>
      <w:r>
        <w:rPr>
          <w:rFonts w:hint="eastAsia" w:ascii="仿宋_GB2312" w:eastAsia="仿宋_GB2312"/>
          <w:sz w:val="20"/>
          <w:szCs w:val="28"/>
        </w:rPr>
        <w:t>△</w:t>
      </w:r>
      <w:r>
        <w:rPr>
          <w:rFonts w:hint="eastAsia"/>
        </w:rPr>
        <w:t>远程支持服务：通过远程接入的方式与客户的技术人员实现网络联接，远程对问题进行检查、排故、和分析。所指派固定服务技术人员仅在得到甲方许可并确保对所访问的网页安全、数据完整性的情况下才可进行相关操作。</w:t>
      </w:r>
    </w:p>
    <w:p>
      <w:pPr>
        <w:ind w:firstLine="600" w:firstLineChars="300"/>
      </w:pPr>
      <w:r>
        <w:rPr>
          <w:rFonts w:hint="eastAsia" w:ascii="仿宋_GB2312" w:eastAsia="仿宋_GB2312"/>
          <w:sz w:val="20"/>
          <w:szCs w:val="28"/>
        </w:rPr>
        <w:t>☆</w:t>
      </w:r>
      <w:r>
        <w:rPr>
          <w:rFonts w:hint="eastAsia"/>
        </w:rPr>
        <w:t>现场服务：在特殊情况下，按照甲方的需要进驻场地提供支持服务，解决故障等突发性问题。</w:t>
      </w:r>
    </w:p>
    <w:p>
      <w:pPr>
        <w:ind w:firstLine="630" w:firstLineChars="300"/>
      </w:pPr>
    </w:p>
    <w:p>
      <w:r>
        <w:rPr>
          <w:rFonts w:hint="eastAsia"/>
        </w:rPr>
        <w:t>投入人员：驻场</w:t>
      </w:r>
      <w:r>
        <w:t>0</w:t>
      </w:r>
      <w:r>
        <w:rPr>
          <w:rFonts w:hint="eastAsia"/>
        </w:rPr>
        <w:t>人，实施</w:t>
      </w:r>
      <w:r>
        <w:t>2</w:t>
      </w:r>
      <w:r>
        <w:rPr>
          <w:rFonts w:hint="eastAsia"/>
        </w:rPr>
        <w:t>人等</w:t>
      </w:r>
    </w:p>
    <w:p/>
    <w:p>
      <w:pPr>
        <w:pStyle w:val="9"/>
        <w:numPr>
          <w:ilvl w:val="0"/>
          <w:numId w:val="1"/>
        </w:numPr>
        <w:ind w:firstLineChars="0"/>
      </w:pPr>
      <w:r>
        <w:rPr>
          <w:rFonts w:hint="eastAsia"/>
        </w:rPr>
        <w:t>服务/运维价格是否一次谈判三年有效，</w:t>
      </w:r>
      <w:r>
        <w:rPr>
          <w:rFonts w:hint="eastAsia" w:asciiTheme="minorEastAsia" w:hAnsiTheme="minorEastAsia"/>
        </w:rPr>
        <w:t>□</w:t>
      </w:r>
      <w:r>
        <w:rPr>
          <w:rFonts w:hint="eastAsia"/>
        </w:rPr>
        <w:t xml:space="preserve">是  </w:t>
      </w:r>
      <w:r>
        <w:rPr>
          <w:rFonts w:hint="eastAsia" w:asciiTheme="minorEastAsia" w:hAnsiTheme="minorEastAsia"/>
        </w:rPr>
        <w:t>■</w:t>
      </w:r>
      <w:r>
        <w:rPr>
          <w:rFonts w:hint="eastAsia"/>
        </w:rPr>
        <w:t>否</w:t>
      </w:r>
    </w:p>
    <w:p/>
    <w:p>
      <w:pPr>
        <w:pStyle w:val="9"/>
        <w:numPr>
          <w:ilvl w:val="0"/>
          <w:numId w:val="1"/>
        </w:numPr>
        <w:ind w:firstLineChars="0"/>
      </w:pPr>
      <w:r>
        <w:rPr>
          <w:rFonts w:hint="eastAsia"/>
        </w:rPr>
        <w:t>其他要求（数据统计、巡检服务、培训要求、供应商资质等）</w:t>
      </w:r>
    </w:p>
    <w:p>
      <w:pPr>
        <w:pStyle w:val="9"/>
      </w:pPr>
    </w:p>
    <w:p>
      <w:pPr>
        <w:ind w:firstLine="630" w:firstLineChars="300"/>
      </w:pPr>
      <w:r>
        <w:rPr>
          <w:rFonts w:hint="eastAsia"/>
        </w:rPr>
        <w:t>供应商须具备工信部颁发有效的电子认证服务许可证和国家密码局颁发的电子认证服务密码许可证、电子政务电子认证服务机构相关证明。</w:t>
      </w:r>
    </w:p>
    <w:p>
      <w:pPr>
        <w:ind w:firstLine="630" w:firstLineChars="300"/>
      </w:pPr>
      <w:r>
        <w:rPr>
          <w:rFonts w:hint="eastAsia"/>
        </w:rPr>
        <w:t>供应商</w:t>
      </w:r>
      <w:r>
        <w:rPr>
          <w:rFonts w:hint="eastAsia" w:ascii="宋体" w:hAnsi="宋体" w:cs="仿宋"/>
          <w:kern w:val="0"/>
          <w:szCs w:val="21"/>
        </w:rPr>
        <w:t>须通过卫生部电子认证服务接入测试。</w:t>
      </w:r>
    </w:p>
    <w:p>
      <w:pPr>
        <w:ind w:firstLine="630" w:firstLineChars="300"/>
      </w:pPr>
      <w:r>
        <w:rPr>
          <w:rFonts w:hint="eastAsia"/>
        </w:rPr>
        <w:t>ISO/IEC27017:2015云服务信息安全管理体系认证证书</w:t>
      </w:r>
    </w:p>
    <w:p>
      <w:pPr>
        <w:ind w:firstLine="630" w:firstLineChars="300"/>
      </w:pPr>
      <w:r>
        <w:rPr>
          <w:rFonts w:hint="eastAsia"/>
        </w:rPr>
        <w:t>ISO/IEC27701:2019隐私信息管理体系认证证书</w:t>
      </w:r>
    </w:p>
    <w:p>
      <w:pPr>
        <w:pStyle w:val="9"/>
      </w:pPr>
    </w:p>
    <w:p>
      <w:pPr>
        <w:rPr>
          <w:sz w:val="24"/>
          <w:szCs w:val="24"/>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A41C17"/>
    <w:multiLevelType w:val="multilevel"/>
    <w:tmpl w:val="26A41C17"/>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44832016"/>
    <w:multiLevelType w:val="multilevel"/>
    <w:tmpl w:val="44832016"/>
    <w:lvl w:ilvl="0" w:tentative="0">
      <w:start w:val="1"/>
      <w:numFmt w:val="decimal"/>
      <w:lvlText w:val="%1）"/>
      <w:lvlJc w:val="left"/>
      <w:pPr>
        <w:ind w:left="990" w:hanging="360"/>
      </w:pPr>
      <w:rPr>
        <w:rFonts w:hint="default"/>
      </w:rPr>
    </w:lvl>
    <w:lvl w:ilvl="1" w:tentative="0">
      <w:start w:val="1"/>
      <w:numFmt w:val="bullet"/>
      <w:lvlText w:val=""/>
      <w:lvlJc w:val="left"/>
      <w:pPr>
        <w:ind w:left="1510" w:hanging="440"/>
      </w:pPr>
      <w:rPr>
        <w:rFonts w:hint="default" w:ascii="Wingdings" w:hAnsi="Wingdings"/>
      </w:rPr>
    </w:lvl>
    <w:lvl w:ilvl="2" w:tentative="0">
      <w:start w:val="1"/>
      <w:numFmt w:val="japaneseCounting"/>
      <w:lvlText w:val="%3、"/>
      <w:lvlJc w:val="left"/>
      <w:pPr>
        <w:ind w:left="1930" w:hanging="420"/>
      </w:pPr>
      <w:rPr>
        <w:rFonts w:hint="default"/>
      </w:rPr>
    </w:lvl>
    <w:lvl w:ilvl="3" w:tentative="0">
      <w:start w:val="1"/>
      <w:numFmt w:val="decimal"/>
      <w:lvlText w:val="%4."/>
      <w:lvlJc w:val="left"/>
      <w:pPr>
        <w:ind w:left="2310" w:hanging="360"/>
      </w:pPr>
      <w:rPr>
        <w:rFonts w:hint="default"/>
      </w:rPr>
    </w:lvl>
    <w:lvl w:ilvl="4" w:tentative="0">
      <w:start w:val="1"/>
      <w:numFmt w:val="lowerLetter"/>
      <w:lvlText w:val="%5)"/>
      <w:lvlJc w:val="left"/>
      <w:pPr>
        <w:ind w:left="2830" w:hanging="440"/>
      </w:pPr>
    </w:lvl>
    <w:lvl w:ilvl="5" w:tentative="0">
      <w:start w:val="1"/>
      <w:numFmt w:val="lowerRoman"/>
      <w:lvlText w:val="%6."/>
      <w:lvlJc w:val="right"/>
      <w:pPr>
        <w:ind w:left="3270" w:hanging="440"/>
      </w:pPr>
    </w:lvl>
    <w:lvl w:ilvl="6" w:tentative="0">
      <w:start w:val="1"/>
      <w:numFmt w:val="decimal"/>
      <w:lvlText w:val="%7."/>
      <w:lvlJc w:val="left"/>
      <w:pPr>
        <w:ind w:left="3710" w:hanging="440"/>
      </w:pPr>
    </w:lvl>
    <w:lvl w:ilvl="7" w:tentative="0">
      <w:start w:val="1"/>
      <w:numFmt w:val="lowerLetter"/>
      <w:lvlText w:val="%8)"/>
      <w:lvlJc w:val="left"/>
      <w:pPr>
        <w:ind w:left="4150" w:hanging="440"/>
      </w:pPr>
    </w:lvl>
    <w:lvl w:ilvl="8" w:tentative="0">
      <w:start w:val="1"/>
      <w:numFmt w:val="lowerRoman"/>
      <w:lvlText w:val="%9."/>
      <w:lvlJc w:val="right"/>
      <w:pPr>
        <w:ind w:left="4590" w:hanging="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2YzY2Y2U1ZjZkN2Y2ZTQ2Yzk5Y2YzN2RjMjE4Y2EifQ=="/>
  </w:docVars>
  <w:rsids>
    <w:rsidRoot w:val="000D5055"/>
    <w:rsid w:val="000D5055"/>
    <w:rsid w:val="00131AED"/>
    <w:rsid w:val="001A7600"/>
    <w:rsid w:val="001B6063"/>
    <w:rsid w:val="001B6F1E"/>
    <w:rsid w:val="002B06D4"/>
    <w:rsid w:val="0030158C"/>
    <w:rsid w:val="003345B5"/>
    <w:rsid w:val="003A1089"/>
    <w:rsid w:val="003F2C6D"/>
    <w:rsid w:val="00453A7E"/>
    <w:rsid w:val="005A0059"/>
    <w:rsid w:val="005B110D"/>
    <w:rsid w:val="005E035F"/>
    <w:rsid w:val="006C30EC"/>
    <w:rsid w:val="006F1075"/>
    <w:rsid w:val="00715412"/>
    <w:rsid w:val="00773DFE"/>
    <w:rsid w:val="00787ABF"/>
    <w:rsid w:val="007C15F5"/>
    <w:rsid w:val="00830092"/>
    <w:rsid w:val="0086449B"/>
    <w:rsid w:val="00885609"/>
    <w:rsid w:val="008878FE"/>
    <w:rsid w:val="009173D3"/>
    <w:rsid w:val="00923381"/>
    <w:rsid w:val="00942135"/>
    <w:rsid w:val="009532EC"/>
    <w:rsid w:val="009A1369"/>
    <w:rsid w:val="00A05D1D"/>
    <w:rsid w:val="00A16AD1"/>
    <w:rsid w:val="00A430C9"/>
    <w:rsid w:val="00AF0713"/>
    <w:rsid w:val="00B146E8"/>
    <w:rsid w:val="00B808F0"/>
    <w:rsid w:val="00BA553C"/>
    <w:rsid w:val="00BC218D"/>
    <w:rsid w:val="00BD4435"/>
    <w:rsid w:val="00BF364A"/>
    <w:rsid w:val="00C27680"/>
    <w:rsid w:val="00D2040F"/>
    <w:rsid w:val="00DD3F79"/>
    <w:rsid w:val="00DF339A"/>
    <w:rsid w:val="00DF3AEC"/>
    <w:rsid w:val="00DF71C7"/>
    <w:rsid w:val="00E2711F"/>
    <w:rsid w:val="00E368D2"/>
    <w:rsid w:val="00E84FE1"/>
    <w:rsid w:val="00E957CF"/>
    <w:rsid w:val="00F7470F"/>
    <w:rsid w:val="00F82DBF"/>
    <w:rsid w:val="00FA072B"/>
    <w:rsid w:val="00FB187A"/>
    <w:rsid w:val="2F4C4585"/>
    <w:rsid w:val="334E739E"/>
    <w:rsid w:val="5341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autoRedefine/>
    <w:semiHidden/>
    <w:unhideWhenUsed/>
    <w:qFormat/>
    <w:uiPriority w:val="99"/>
    <w:rPr>
      <w:rFonts w:ascii="宋体" w:hAnsi="Courier New" w:eastAsia="宋体" w:cs="Courier New"/>
      <w:szCs w:val="21"/>
    </w:rPr>
  </w:style>
  <w:style w:type="paragraph" w:styleId="3">
    <w:name w:val="Balloon Text"/>
    <w:basedOn w:val="1"/>
    <w:link w:val="10"/>
    <w:autoRedefine/>
    <w:semiHidden/>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9">
    <w:name w:val="List Paragraph"/>
    <w:basedOn w:val="1"/>
    <w:qFormat/>
    <w:uiPriority w:val="34"/>
    <w:pPr>
      <w:ind w:firstLine="420" w:firstLineChars="200"/>
    </w:pPr>
  </w:style>
  <w:style w:type="character" w:customStyle="1" w:styleId="10">
    <w:name w:val="批注框文本 Char"/>
    <w:basedOn w:val="8"/>
    <w:link w:val="3"/>
    <w:autoRedefine/>
    <w:semiHidden/>
    <w:qFormat/>
    <w:uiPriority w:val="99"/>
    <w:rPr>
      <w:sz w:val="18"/>
      <w:szCs w:val="18"/>
    </w:rPr>
  </w:style>
  <w:style w:type="character" w:customStyle="1" w:styleId="11">
    <w:name w:val="页眉 Char"/>
    <w:basedOn w:val="8"/>
    <w:link w:val="5"/>
    <w:autoRedefine/>
    <w:qFormat/>
    <w:uiPriority w:val="99"/>
    <w:rPr>
      <w:sz w:val="18"/>
      <w:szCs w:val="18"/>
    </w:rPr>
  </w:style>
  <w:style w:type="character" w:customStyle="1" w:styleId="12">
    <w:name w:val="页脚 Char"/>
    <w:basedOn w:val="8"/>
    <w:link w:val="4"/>
    <w:autoRedefine/>
    <w:qFormat/>
    <w:uiPriority w:val="99"/>
    <w:rPr>
      <w:sz w:val="18"/>
      <w:szCs w:val="18"/>
    </w:rPr>
  </w:style>
  <w:style w:type="character" w:customStyle="1" w:styleId="13">
    <w:name w:val="纯文本 Char"/>
    <w:basedOn w:val="8"/>
    <w:link w:val="2"/>
    <w:semiHidden/>
    <w:uiPriority w:val="99"/>
    <w:rPr>
      <w:rFonts w:ascii="宋体" w:hAnsi="Courier New" w:eastAsia="宋体" w:cs="Courier New"/>
      <w:szCs w:val="21"/>
    </w:rPr>
  </w:style>
  <w:style w:type="paragraph" w:customStyle="1" w:styleId="14">
    <w:name w:val="方案正文"/>
    <w:basedOn w:val="1"/>
    <w:qFormat/>
    <w:uiPriority w:val="0"/>
    <w:pPr>
      <w:spacing w:line="360" w:lineRule="auto"/>
      <w:ind w:firstLine="200" w:firstLineChars="200"/>
    </w:pPr>
    <w:rPr>
      <w:rFonts w:ascii="Times New Roman" w:hAnsi="Times New Roman"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375</Words>
  <Characters>2138</Characters>
  <Lines>17</Lines>
  <Paragraphs>5</Paragraphs>
  <TotalTime>19</TotalTime>
  <ScaleCrop>false</ScaleCrop>
  <LinksUpToDate>false</LinksUpToDate>
  <CharactersWithSpaces>2508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2024-01-16T08:07:00Z</dcterms:created>
  <dc:creator>胡佳迎</dc:creator>
  <cp:lastModifiedBy>策馬奔騰的FI無</cp:lastModifiedBy>
  <dcterms:modified xsi:type="dcterms:W3CDTF">2024-03-18T00:57:02Z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0454054E99B441FEA8B672ED0B9DCE94_13</vt:lpwstr>
  </property>
</Properties>
</file>