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1.</w:t>
      </w:r>
      <w:r>
        <w:t xml:space="preserve"> 项目名称及总体要求</w:t>
      </w:r>
    </w:p>
    <w:p>
      <w:pPr>
        <w:rPr>
          <w:rFonts w:hint="eastAsia" w:ascii="Segoe UI" w:hAnsi="Segoe UI" w:cs="Segoe UI"/>
          <w:color w:val="606266"/>
          <w:szCs w:val="21"/>
          <w:shd w:val="clear" w:color="auto" w:fill="F5F7FA"/>
        </w:rPr>
      </w:pPr>
      <w:r>
        <w:rPr>
          <w:rFonts w:ascii="Segoe UI" w:hAnsi="Segoe UI" w:cs="Segoe UI"/>
          <w:color w:val="606266"/>
          <w:szCs w:val="21"/>
          <w:shd w:val="clear" w:color="auto" w:fill="F5F7FA"/>
        </w:rPr>
        <w:t>统一就诊服务互联网医院及住院无人值守年度维保</w:t>
      </w:r>
    </w:p>
    <w:p>
      <w:r>
        <w:rPr>
          <w:rFonts w:hint="eastAsia"/>
        </w:rPr>
        <w:t>2.服务/运维对象及地点</w:t>
      </w:r>
    </w:p>
    <w:p>
      <w:r>
        <w:rPr>
          <w:rFonts w:hint="eastAsia"/>
        </w:rPr>
        <w:t>两院区</w:t>
      </w:r>
    </w:p>
    <w:p>
      <w:r>
        <w:rPr>
          <w:rFonts w:hint="eastAsia"/>
        </w:rPr>
        <w:t>3.周期：一年</w:t>
      </w:r>
      <w:bookmarkStart w:id="19" w:name="_GoBack"/>
      <w:bookmarkEnd w:id="19"/>
    </w:p>
    <w:p>
      <w:r>
        <w:rPr>
          <w:rFonts w:hint="eastAsia"/>
        </w:rPr>
        <w:t>4.服务及维护清单</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8"/>
        <w:gridCol w:w="1367"/>
        <w:gridCol w:w="1368"/>
        <w:gridCol w:w="132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Pr>
          <w:p>
            <w:pPr>
              <w:pStyle w:val="11"/>
              <w:ind w:firstLine="0" w:firstLineChars="0"/>
            </w:pPr>
            <w:r>
              <w:t>序号</w:t>
            </w:r>
          </w:p>
        </w:tc>
        <w:tc>
          <w:tcPr>
            <w:tcW w:w="1368" w:type="dxa"/>
          </w:tcPr>
          <w:p>
            <w:pPr>
              <w:pStyle w:val="11"/>
              <w:ind w:firstLine="0" w:firstLineChars="0"/>
            </w:pPr>
            <w:r>
              <w:rPr>
                <w:rFonts w:hint="eastAsia"/>
              </w:rPr>
              <w:t>一级</w:t>
            </w:r>
          </w:p>
        </w:tc>
        <w:tc>
          <w:tcPr>
            <w:tcW w:w="1367" w:type="dxa"/>
          </w:tcPr>
          <w:p>
            <w:pPr>
              <w:pStyle w:val="11"/>
              <w:ind w:firstLine="0" w:firstLineChars="0"/>
            </w:pPr>
            <w:r>
              <w:t>二级</w:t>
            </w:r>
          </w:p>
        </w:tc>
        <w:tc>
          <w:tcPr>
            <w:tcW w:w="1368" w:type="dxa"/>
          </w:tcPr>
          <w:p>
            <w:pPr>
              <w:pStyle w:val="11"/>
              <w:ind w:firstLine="0" w:firstLineChars="0"/>
            </w:pPr>
            <w:r>
              <w:t>描述</w:t>
            </w:r>
            <w:r>
              <w:rPr>
                <w:rFonts w:hint="eastAsia"/>
              </w:rPr>
              <w:t>/型号</w:t>
            </w:r>
          </w:p>
        </w:tc>
        <w:tc>
          <w:tcPr>
            <w:tcW w:w="1323" w:type="dxa"/>
          </w:tcPr>
          <w:p>
            <w:pPr>
              <w:pStyle w:val="11"/>
              <w:ind w:firstLine="0" w:firstLineChars="0"/>
            </w:pPr>
            <w:r>
              <w:t>数量</w:t>
            </w:r>
          </w:p>
        </w:tc>
        <w:tc>
          <w:tcPr>
            <w:tcW w:w="1368" w:type="dxa"/>
          </w:tcPr>
          <w:p>
            <w:pPr>
              <w:pStyle w:val="11"/>
              <w:ind w:firstLine="0" w:firstLineChars="0"/>
            </w:pPr>
            <w:r>
              <w:t>指标重要性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pPr>
            <w:r>
              <w:rPr>
                <w:rFonts w:hint="eastAsia"/>
              </w:rPr>
              <w:t>1</w:t>
            </w:r>
          </w:p>
        </w:tc>
        <w:tc>
          <w:tcPr>
            <w:tcW w:w="1368" w:type="dxa"/>
          </w:tcPr>
          <w:p>
            <w:pPr>
              <w:pStyle w:val="11"/>
              <w:ind w:firstLine="0" w:firstLineChars="0"/>
            </w:pPr>
            <w:r>
              <w:rPr>
                <w:rFonts w:hint="eastAsia"/>
              </w:rPr>
              <w:t>统一就诊服务</w:t>
            </w:r>
          </w:p>
        </w:tc>
        <w:tc>
          <w:tcPr>
            <w:tcW w:w="1367" w:type="dxa"/>
          </w:tcPr>
          <w:p>
            <w:pPr>
              <w:pStyle w:val="11"/>
              <w:ind w:firstLine="0" w:firstLineChars="0"/>
            </w:pPr>
          </w:p>
        </w:tc>
        <w:tc>
          <w:tcPr>
            <w:tcW w:w="1368" w:type="dxa"/>
          </w:tcPr>
          <w:p>
            <w:pPr>
              <w:pStyle w:val="11"/>
              <w:ind w:firstLine="0" w:firstLineChars="0"/>
            </w:pPr>
          </w:p>
        </w:tc>
        <w:tc>
          <w:tcPr>
            <w:tcW w:w="1323" w:type="dxa"/>
          </w:tcPr>
          <w:p>
            <w:pPr>
              <w:pStyle w:val="11"/>
              <w:ind w:firstLine="0" w:firstLineChars="0"/>
            </w:pPr>
            <w:r>
              <w:rPr>
                <w:rFonts w:hint="eastAsia"/>
              </w:rPr>
              <w:t>1</w:t>
            </w:r>
          </w:p>
        </w:tc>
        <w:tc>
          <w:tcPr>
            <w:tcW w:w="1368" w:type="dxa"/>
          </w:tcPr>
          <w:p>
            <w:pPr>
              <w:pStyle w:val="11"/>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pPr>
            <w:r>
              <w:rPr>
                <w:rFonts w:hint="eastAsia"/>
              </w:rPr>
              <w:t>2</w:t>
            </w:r>
          </w:p>
        </w:tc>
        <w:tc>
          <w:tcPr>
            <w:tcW w:w="1368" w:type="dxa"/>
          </w:tcPr>
          <w:p>
            <w:pPr>
              <w:pStyle w:val="11"/>
              <w:ind w:firstLine="0" w:firstLineChars="0"/>
            </w:pPr>
            <w:r>
              <w:rPr>
                <w:rFonts w:hint="eastAsia"/>
              </w:rPr>
              <w:t>互联网医院</w:t>
            </w:r>
          </w:p>
        </w:tc>
        <w:tc>
          <w:tcPr>
            <w:tcW w:w="1367" w:type="dxa"/>
          </w:tcPr>
          <w:p>
            <w:pPr>
              <w:pStyle w:val="11"/>
              <w:ind w:firstLine="0" w:firstLineChars="0"/>
            </w:pPr>
          </w:p>
        </w:tc>
        <w:tc>
          <w:tcPr>
            <w:tcW w:w="1368" w:type="dxa"/>
          </w:tcPr>
          <w:p>
            <w:pPr>
              <w:pStyle w:val="11"/>
              <w:ind w:firstLine="0" w:firstLineChars="0"/>
            </w:pPr>
          </w:p>
        </w:tc>
        <w:tc>
          <w:tcPr>
            <w:tcW w:w="1323" w:type="dxa"/>
          </w:tcPr>
          <w:p>
            <w:pPr>
              <w:pStyle w:val="11"/>
              <w:ind w:firstLine="0" w:firstLineChars="0"/>
            </w:pPr>
            <w:r>
              <w:rPr>
                <w:rFonts w:hint="eastAsia"/>
              </w:rPr>
              <w:t>1</w:t>
            </w:r>
          </w:p>
        </w:tc>
        <w:tc>
          <w:tcPr>
            <w:tcW w:w="1368" w:type="dxa"/>
          </w:tcPr>
          <w:p>
            <w:pPr>
              <w:pStyle w:val="11"/>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pStyle w:val="11"/>
              <w:ind w:firstLine="0" w:firstLineChars="0"/>
            </w:pPr>
            <w:r>
              <w:rPr>
                <w:rFonts w:hint="eastAsia"/>
              </w:rPr>
              <w:t>3</w:t>
            </w:r>
          </w:p>
        </w:tc>
        <w:tc>
          <w:tcPr>
            <w:tcW w:w="1368" w:type="dxa"/>
          </w:tcPr>
          <w:p>
            <w:pPr>
              <w:pStyle w:val="11"/>
              <w:ind w:firstLine="0" w:firstLineChars="0"/>
            </w:pPr>
            <w:r>
              <w:rPr>
                <w:rFonts w:hint="eastAsia"/>
              </w:rPr>
              <w:t>住院无人值守</w:t>
            </w:r>
          </w:p>
        </w:tc>
        <w:tc>
          <w:tcPr>
            <w:tcW w:w="1367" w:type="dxa"/>
          </w:tcPr>
          <w:p>
            <w:pPr>
              <w:pStyle w:val="11"/>
              <w:ind w:firstLine="0" w:firstLineChars="0"/>
            </w:pPr>
          </w:p>
        </w:tc>
        <w:tc>
          <w:tcPr>
            <w:tcW w:w="1368" w:type="dxa"/>
          </w:tcPr>
          <w:p>
            <w:pPr>
              <w:pStyle w:val="11"/>
              <w:ind w:firstLine="0" w:firstLineChars="0"/>
            </w:pPr>
          </w:p>
        </w:tc>
        <w:tc>
          <w:tcPr>
            <w:tcW w:w="1323" w:type="dxa"/>
          </w:tcPr>
          <w:p>
            <w:pPr>
              <w:pStyle w:val="11"/>
              <w:ind w:firstLine="0" w:firstLineChars="0"/>
            </w:pPr>
            <w:r>
              <w:rPr>
                <w:rFonts w:hint="eastAsia"/>
              </w:rPr>
              <w:t>1</w:t>
            </w:r>
          </w:p>
        </w:tc>
        <w:tc>
          <w:tcPr>
            <w:tcW w:w="1368" w:type="dxa"/>
          </w:tcPr>
          <w:p>
            <w:pPr>
              <w:pStyle w:val="11"/>
              <w:ind w:firstLine="0" w:firstLineChars="0"/>
            </w:pPr>
          </w:p>
        </w:tc>
      </w:tr>
    </w:tbl>
    <w:p>
      <w:pPr>
        <w:numPr>
          <w:ilvl w:val="0"/>
          <w:numId w:val="2"/>
        </w:numPr>
      </w:pPr>
      <w:r>
        <w:rPr>
          <w:rFonts w:hint="eastAsia"/>
        </w:rPr>
        <w:t>日常服务/维护内容</w:t>
      </w:r>
    </w:p>
    <w:p>
      <w:pPr>
        <w:pStyle w:val="15"/>
        <w:ind w:firstLine="420" w:firstLineChars="200"/>
      </w:pPr>
      <w:r>
        <w:rPr>
          <w:rFonts w:hint="eastAsia"/>
        </w:rPr>
        <w:t>4.1、负责应用软件的运维，每季度巡检信息系统，并对现有系统运行状态进行评估。</w:t>
      </w:r>
      <w:r>
        <w:t xml:space="preserve"> </w:t>
      </w:r>
    </w:p>
    <w:p>
      <w:pPr>
        <w:pStyle w:val="15"/>
        <w:ind w:firstLine="420" w:firstLineChars="200"/>
      </w:pPr>
      <w:r>
        <w:rPr>
          <w:rFonts w:hint="eastAsia"/>
        </w:rPr>
        <w:t>4.2、负责应用软件相关操作系统、数据库管理系统的定期维护工作；定期针对信息系统数据库执行异地备份任务（包括但不限于完全备份、日志备份）；从本项目应用软件角度针对相关操作系统、数据库执行优化操作，包括但不限于存储空间维护、索引维护、日志维护；对现有操作系统、数据库运行状态进行评估。</w:t>
      </w:r>
      <w:r>
        <w:t xml:space="preserve"> </w:t>
      </w:r>
    </w:p>
    <w:p>
      <w:pPr>
        <w:pStyle w:val="15"/>
        <w:ind w:firstLine="420" w:firstLineChars="200"/>
      </w:pPr>
      <w:r>
        <w:rPr>
          <w:rFonts w:hint="eastAsia"/>
        </w:rPr>
        <w:t>4.3、本项目维保期内，在信息系统发生故障并影响</w:t>
      </w:r>
      <w:r>
        <w:rPr>
          <w:rFonts w:hint="eastAsia"/>
          <w:lang w:val="en-US" w:eastAsia="zh-CN"/>
        </w:rPr>
        <w:t>院</w:t>
      </w:r>
      <w:r>
        <w:rPr>
          <w:rFonts w:hint="eastAsia"/>
        </w:rPr>
        <w:t>方业务时，由</w:t>
      </w:r>
      <w:r>
        <w:rPr>
          <w:rFonts w:hint="eastAsia"/>
          <w:lang w:val="en-US" w:eastAsia="zh-CN"/>
        </w:rPr>
        <w:t>院</w:t>
      </w:r>
      <w:r>
        <w:rPr>
          <w:rFonts w:hint="eastAsia"/>
        </w:rPr>
        <w:t>方判定紧急程度，针对紧急程度高的故障事件，</w:t>
      </w:r>
      <w:r>
        <w:rPr>
          <w:rFonts w:hint="eastAsia"/>
          <w:lang w:val="en-US" w:eastAsia="zh-CN"/>
        </w:rPr>
        <w:t>供应商需</w:t>
      </w:r>
      <w:r>
        <w:rPr>
          <w:rFonts w:hint="eastAsia"/>
        </w:rPr>
        <w:t>支持工程师及时对系统进行维护保障服务。现场工程师无法解决的，</w:t>
      </w:r>
      <w:r>
        <w:rPr>
          <w:rFonts w:hint="eastAsia"/>
          <w:lang w:val="en-US" w:eastAsia="zh-CN"/>
        </w:rPr>
        <w:t>院</w:t>
      </w:r>
      <w:r>
        <w:rPr>
          <w:rFonts w:hint="eastAsia"/>
        </w:rPr>
        <w:t>方负责提供远程操作工具，</w:t>
      </w:r>
      <w:r>
        <w:rPr>
          <w:rFonts w:hint="eastAsia"/>
          <w:lang w:val="en-US" w:eastAsia="zh-CN"/>
        </w:rPr>
        <w:t>供应商应</w:t>
      </w:r>
      <w:r>
        <w:rPr>
          <w:rFonts w:hint="eastAsia"/>
        </w:rPr>
        <w:t>立即响应和安排拥有相应技术能力的工程师使用</w:t>
      </w:r>
      <w:r>
        <w:rPr>
          <w:rFonts w:hint="eastAsia"/>
          <w:lang w:val="en-US" w:eastAsia="zh-CN"/>
        </w:rPr>
        <w:t>院</w:t>
      </w:r>
      <w:r>
        <w:rPr>
          <w:rFonts w:hint="eastAsia"/>
        </w:rPr>
        <w:t>方提供之远程操作工具进行紧急故障排除工作。</w:t>
      </w:r>
    </w:p>
    <w:p>
      <w:pPr>
        <w:pStyle w:val="15"/>
        <w:ind w:firstLine="420" w:firstLineChars="200"/>
      </w:pPr>
      <w:r>
        <w:rPr>
          <w:rFonts w:hint="eastAsia"/>
        </w:rPr>
        <w:t>4.4、本项目维保期内，若出现系统故障，必须全天候（</w:t>
      </w:r>
      <w:r>
        <w:t>7</w:t>
      </w:r>
      <w:r>
        <w:rPr>
          <w:rFonts w:hint="eastAsia"/>
        </w:rPr>
        <w:t>×</w:t>
      </w:r>
      <w:r>
        <w:t xml:space="preserve">24 </w:t>
      </w:r>
      <w:r>
        <w:rPr>
          <w:rFonts w:hint="eastAsia"/>
        </w:rPr>
        <w:t>小时）确保由熟悉相关信息系统，且拥有相应技术能力的工程师在</w:t>
      </w:r>
      <w:r>
        <w:rPr>
          <w:rFonts w:hint="eastAsia"/>
          <w:lang w:val="en-US" w:eastAsia="zh-CN"/>
        </w:rPr>
        <w:t>院</w:t>
      </w:r>
      <w:r>
        <w:rPr>
          <w:rFonts w:hint="eastAsia"/>
        </w:rPr>
        <w:t>方限定时间内提供排障服务。</w:t>
      </w:r>
      <w:r>
        <w:t xml:space="preserve"> </w:t>
      </w:r>
    </w:p>
    <w:p>
      <w:pPr>
        <w:pStyle w:val="15"/>
        <w:ind w:firstLine="420" w:firstLineChars="200"/>
      </w:pPr>
      <w:r>
        <w:rPr>
          <w:rFonts w:hint="eastAsia"/>
        </w:rPr>
        <w:t>4.5、</w:t>
      </w:r>
      <w:r>
        <w:t>本项目维保期内，如</w:t>
      </w:r>
      <w:r>
        <w:rPr>
          <w:rFonts w:hint="eastAsia"/>
          <w:lang w:val="en-US" w:eastAsia="zh-CN"/>
        </w:rPr>
        <w:t>供应商</w:t>
      </w:r>
      <w:r>
        <w:t>提供的系统版本升级或修改，</w:t>
      </w:r>
      <w:r>
        <w:rPr>
          <w:rFonts w:hint="eastAsia"/>
          <w:lang w:val="en-US" w:eastAsia="zh-CN"/>
        </w:rPr>
        <w:t>需</w:t>
      </w:r>
      <w:r>
        <w:t>提供本项目服务范围内的信息系统的更新服务。</w:t>
      </w:r>
      <w:r>
        <w:rPr>
          <w:rFonts w:hint="eastAsia"/>
          <w:lang w:val="en-US" w:eastAsia="zh-CN"/>
        </w:rPr>
        <w:t>供应商应</w:t>
      </w:r>
      <w:r>
        <w:t>事先提供升级计划和回退方案，在经过</w:t>
      </w:r>
      <w:r>
        <w:rPr>
          <w:rFonts w:hint="eastAsia"/>
          <w:lang w:val="en-US" w:eastAsia="zh-CN"/>
        </w:rPr>
        <w:t>院</w:t>
      </w:r>
      <w:r>
        <w:t>方信息中心认可并确定具体实施时间后，通过现场或远程实施方式，为</w:t>
      </w:r>
      <w:r>
        <w:rPr>
          <w:rFonts w:hint="eastAsia"/>
          <w:lang w:val="en-US" w:eastAsia="zh-CN"/>
        </w:rPr>
        <w:t>院</w:t>
      </w:r>
      <w:r>
        <w:t>方进行软件系统的更新。</w:t>
      </w:r>
    </w:p>
    <w:p>
      <w:pPr>
        <w:pStyle w:val="15"/>
        <w:ind w:firstLine="420" w:firstLineChars="200"/>
      </w:pPr>
      <w:r>
        <w:rPr>
          <w:rFonts w:hint="eastAsia"/>
        </w:rPr>
        <w:t>4.6、</w:t>
      </w:r>
      <w:r>
        <w:t>在技术服务过程中</w:t>
      </w:r>
      <w:r>
        <w:rPr>
          <w:rFonts w:hint="eastAsia"/>
        </w:rPr>
        <w:t>，</w:t>
      </w:r>
      <w:r>
        <w:rPr>
          <w:rFonts w:hint="eastAsia"/>
          <w:lang w:val="en-US" w:eastAsia="zh-CN"/>
        </w:rPr>
        <w:t>供应商应</w:t>
      </w:r>
      <w:r>
        <w:t>做好</w:t>
      </w:r>
      <w:r>
        <w:rPr>
          <w:rFonts w:hint="eastAsia"/>
          <w:lang w:val="en-US" w:eastAsia="zh-CN"/>
        </w:rPr>
        <w:t>院</w:t>
      </w:r>
      <w:r>
        <w:t>方系统数据的备份工作</w:t>
      </w:r>
      <w:r>
        <w:rPr>
          <w:rFonts w:hint="eastAsia"/>
        </w:rPr>
        <w:t>。</w:t>
      </w:r>
      <w:r>
        <w:t xml:space="preserve"> </w:t>
      </w:r>
    </w:p>
    <w:p>
      <w:pPr>
        <w:pStyle w:val="15"/>
        <w:ind w:firstLine="420" w:firstLineChars="200"/>
      </w:pPr>
      <w:r>
        <w:rPr>
          <w:rFonts w:hint="eastAsia"/>
        </w:rPr>
        <w:t>4.7、</w:t>
      </w:r>
      <w:r>
        <w:t>本项目技术服务期内，</w:t>
      </w:r>
      <w:r>
        <w:rPr>
          <w:rFonts w:hint="eastAsia"/>
          <w:lang w:val="en-US" w:eastAsia="zh-CN"/>
        </w:rPr>
        <w:t>供应商应</w:t>
      </w:r>
      <w:r>
        <w:t>承担本项目服务范围内的信息系统软件（即：</w:t>
      </w:r>
      <w:r>
        <w:rPr>
          <w:rFonts w:hint="eastAsia"/>
          <w:lang w:val="en-US" w:eastAsia="zh-CN"/>
        </w:rPr>
        <w:t>供应商</w:t>
      </w:r>
      <w:r>
        <w:t>提供的系统）技术服务内容（包括但不限于开发、实施、测试、运维）。</w:t>
      </w:r>
    </w:p>
    <w:p>
      <w:r>
        <w:rPr>
          <w:rFonts w:hint="eastAsia"/>
        </w:rPr>
        <w:t>6.功能完善及扩展性服务/维护</w:t>
      </w:r>
    </w:p>
    <w:p>
      <w:pPr>
        <w:pStyle w:val="15"/>
        <w:ind w:firstLine="420" w:firstLineChars="200"/>
      </w:pPr>
      <w:r>
        <w:rPr>
          <w:rFonts w:hint="eastAsia"/>
        </w:rPr>
        <w:t>合同内的功能完善。</w:t>
      </w:r>
    </w:p>
    <w:p>
      <w:pPr>
        <w:numPr>
          <w:ilvl w:val="0"/>
          <w:numId w:val="3"/>
        </w:numPr>
      </w:pPr>
      <w:r>
        <w:rPr>
          <w:rFonts w:hint="eastAsia"/>
        </w:rPr>
        <w:t>服务/维护要求及方式</w:t>
      </w:r>
    </w:p>
    <w:p>
      <w:pPr>
        <w:pStyle w:val="15"/>
        <w:ind w:firstLine="420" w:firstLineChars="200"/>
      </w:pPr>
      <w:bookmarkStart w:id="0" w:name="_Toc134714152"/>
      <w:bookmarkStart w:id="1" w:name="_Toc143527306"/>
      <w:r>
        <w:rPr>
          <w:rFonts w:hint="eastAsia"/>
        </w:rPr>
        <w:t>7.1、售后服务响应时间</w:t>
      </w:r>
      <w:bookmarkEnd w:id="0"/>
      <w:bookmarkEnd w:id="1"/>
    </w:p>
    <w:p>
      <w:pPr>
        <w:pStyle w:val="15"/>
        <w:ind w:firstLine="420" w:firstLineChars="200"/>
      </w:pPr>
      <w:r>
        <w:rPr>
          <w:rFonts w:hint="eastAsia"/>
        </w:rPr>
        <w:t>售后服务响应时间将小于1小时。</w:t>
      </w:r>
    </w:p>
    <w:p>
      <w:pPr>
        <w:pStyle w:val="15"/>
        <w:ind w:firstLine="420" w:firstLineChars="200"/>
      </w:pPr>
      <w:bookmarkStart w:id="2" w:name="_Toc143527307"/>
      <w:bookmarkStart w:id="3" w:name="_Toc134714153"/>
      <w:r>
        <w:rPr>
          <w:rFonts w:hint="eastAsia"/>
        </w:rPr>
        <w:t>7.2、保修期内售后服务时间</w:t>
      </w:r>
      <w:bookmarkEnd w:id="2"/>
      <w:bookmarkEnd w:id="3"/>
    </w:p>
    <w:p>
      <w:pPr>
        <w:pStyle w:val="15"/>
        <w:ind w:firstLine="420" w:firstLineChars="200"/>
      </w:pPr>
      <w:r>
        <w:rPr>
          <w:rFonts w:hint="eastAsia"/>
          <w:lang w:val="en-US" w:eastAsia="zh-CN"/>
        </w:rPr>
        <w:t>供应商需</w:t>
      </w:r>
      <w:r>
        <w:rPr>
          <w:rFonts w:hint="eastAsia"/>
        </w:rPr>
        <w:t>提供多种形式、不同级别，覆盖7*24小时的维护服务。</w:t>
      </w:r>
      <w:r>
        <w:rPr>
          <w:rFonts w:hint="eastAsia"/>
          <w:lang w:val="en-US" w:eastAsia="zh-CN"/>
        </w:rPr>
        <w:t>需</w:t>
      </w:r>
      <w:r>
        <w:rPr>
          <w:rFonts w:hint="eastAsia"/>
        </w:rPr>
        <w:t>提供1年7*24小时免费服务，医院工作日白天故障响应时间小于1小时，24小时内修复。免费期内对系统优化和常规安全检查。</w:t>
      </w:r>
    </w:p>
    <w:p>
      <w:pPr>
        <w:pStyle w:val="15"/>
        <w:ind w:firstLine="420" w:firstLineChars="200"/>
      </w:pPr>
      <w:bookmarkStart w:id="4" w:name="_Toc134714154"/>
      <w:bookmarkStart w:id="5" w:name="_Toc143527308"/>
      <w:r>
        <w:rPr>
          <w:rFonts w:hint="eastAsia"/>
        </w:rPr>
        <w:t>7.3、售后服务形式</w:t>
      </w:r>
      <w:bookmarkEnd w:id="4"/>
      <w:bookmarkEnd w:id="5"/>
    </w:p>
    <w:p>
      <w:pPr>
        <w:pStyle w:val="15"/>
        <w:ind w:firstLine="420" w:firstLineChars="200"/>
      </w:pPr>
      <w:r>
        <w:rPr>
          <w:rFonts w:hint="eastAsia"/>
          <w:lang w:val="en-US" w:eastAsia="zh-CN"/>
        </w:rPr>
        <w:t>供应商需</w:t>
      </w:r>
      <w:r>
        <w:rPr>
          <w:rFonts w:hint="eastAsia"/>
        </w:rPr>
        <w:t>提供多种形式、不同级别，覆盖7*24小时的维护服务。售后服务提供形式包括：</w:t>
      </w:r>
    </w:p>
    <w:p>
      <w:pPr>
        <w:pStyle w:val="15"/>
        <w:ind w:firstLine="420" w:firstLineChars="200"/>
      </w:pPr>
      <w:r>
        <w:rPr>
          <w:rFonts w:hint="eastAsia"/>
        </w:rPr>
        <w:t>7.3.1、电话咨询，免费提供每周7天/每天 24小时不间断的电话支持服务，解答院方在系统使用、维护过程中遇到的问题，及时提出解决问题的建议和操作方法。</w:t>
      </w:r>
    </w:p>
    <w:p>
      <w:pPr>
        <w:pStyle w:val="15"/>
        <w:ind w:firstLine="420" w:firstLineChars="200"/>
      </w:pPr>
      <w:r>
        <w:rPr>
          <w:rFonts w:hint="eastAsia"/>
        </w:rPr>
        <w:t>7.3.2、远程在线诊断和故障排除，对于电话咨询无法解决的问题，经院方授权远程登录到院方网络系统进行免费的故障诊断和故障排除。</w:t>
      </w:r>
    </w:p>
    <w:p>
      <w:pPr>
        <w:pStyle w:val="15"/>
        <w:ind w:firstLine="420" w:firstLineChars="200"/>
      </w:pPr>
      <w:r>
        <w:rPr>
          <w:rFonts w:hint="eastAsia"/>
        </w:rPr>
        <w:t>7.3.3、如出现重大技术问题处理，对重大的技术问题，</w:t>
      </w:r>
      <w:r>
        <w:rPr>
          <w:rFonts w:hint="eastAsia"/>
          <w:lang w:val="en-US" w:eastAsia="zh-CN"/>
        </w:rPr>
        <w:t>供应商需</w:t>
      </w:r>
      <w:r>
        <w:rPr>
          <w:rFonts w:hint="eastAsia"/>
        </w:rPr>
        <w:t>协调组织技术专家小组进行会诊，以确保系统的正常运行。</w:t>
      </w:r>
    </w:p>
    <w:p>
      <w:pPr>
        <w:pStyle w:val="15"/>
        <w:ind w:firstLine="420" w:firstLineChars="200"/>
      </w:pPr>
      <w:bookmarkStart w:id="6" w:name="_Toc503803598"/>
      <w:bookmarkStart w:id="7" w:name="_Toc143527309"/>
      <w:bookmarkStart w:id="8" w:name="_Toc125920768"/>
      <w:bookmarkStart w:id="9" w:name="_Ref125896134"/>
      <w:r>
        <w:rPr>
          <w:rFonts w:hint="eastAsia"/>
        </w:rPr>
        <w:t>7.4、技术运行保障</w:t>
      </w:r>
      <w:bookmarkEnd w:id="6"/>
      <w:bookmarkEnd w:id="7"/>
      <w:bookmarkEnd w:id="8"/>
      <w:bookmarkEnd w:id="9"/>
    </w:p>
    <w:p>
      <w:pPr>
        <w:pStyle w:val="15"/>
        <w:ind w:firstLine="420" w:firstLineChars="200"/>
      </w:pPr>
      <w:bookmarkStart w:id="10" w:name="_Toc503803599"/>
      <w:bookmarkStart w:id="11" w:name="_Toc125920769"/>
      <w:r>
        <w:rPr>
          <w:rFonts w:hint="eastAsia"/>
        </w:rPr>
        <w:t>7.4.1、技术支持与售后服务政策</w:t>
      </w:r>
      <w:bookmarkEnd w:id="10"/>
      <w:bookmarkEnd w:id="11"/>
    </w:p>
    <w:p>
      <w:pPr>
        <w:pStyle w:val="15"/>
        <w:ind w:firstLine="420" w:firstLineChars="200"/>
      </w:pPr>
      <w:r>
        <w:rPr>
          <w:rFonts w:hint="eastAsia"/>
        </w:rPr>
        <w:t>系统维护与技术支持将由</w:t>
      </w:r>
      <w:r>
        <w:rPr>
          <w:rFonts w:hint="eastAsia"/>
          <w:lang w:val="en-US" w:eastAsia="zh-CN"/>
        </w:rPr>
        <w:t>供应商</w:t>
      </w:r>
      <w:r>
        <w:rPr>
          <w:rFonts w:hint="eastAsia"/>
        </w:rPr>
        <w:t>承担。</w:t>
      </w:r>
      <w:r>
        <w:rPr>
          <w:rFonts w:hint="eastAsia"/>
          <w:lang w:val="en-US" w:eastAsia="zh-CN"/>
        </w:rPr>
        <w:t>院方在</w:t>
      </w:r>
      <w:r>
        <w:rPr>
          <w:rFonts w:hint="eastAsia"/>
        </w:rPr>
        <w:t>系统中的所有问题均可提出，由</w:t>
      </w:r>
      <w:r>
        <w:rPr>
          <w:rFonts w:hint="eastAsia"/>
          <w:lang w:val="en-US" w:eastAsia="zh-CN"/>
        </w:rPr>
        <w:t>供应商</w:t>
      </w:r>
      <w:r>
        <w:rPr>
          <w:rFonts w:hint="eastAsia"/>
        </w:rPr>
        <w:t>统一协调，</w:t>
      </w:r>
      <w:r>
        <w:rPr>
          <w:rFonts w:hint="eastAsia"/>
          <w:lang w:val="en-US" w:eastAsia="zh-CN"/>
        </w:rPr>
        <w:t>在</w:t>
      </w:r>
      <w:r>
        <w:rPr>
          <w:rFonts w:hint="eastAsia"/>
        </w:rPr>
        <w:t>售后服务期限内提供免费技术支持服务。其中第三方软件技术支持与售后服务由原厂商提供。</w:t>
      </w:r>
    </w:p>
    <w:p>
      <w:pPr>
        <w:pStyle w:val="15"/>
        <w:ind w:firstLine="420" w:firstLineChars="200"/>
      </w:pPr>
      <w:bookmarkStart w:id="12" w:name="_Toc503803600"/>
      <w:r>
        <w:rPr>
          <w:rFonts w:hint="eastAsia"/>
        </w:rPr>
        <w:t>7.4.2、技术后援支持</w:t>
      </w:r>
      <w:bookmarkEnd w:id="12"/>
    </w:p>
    <w:p>
      <w:pPr>
        <w:pStyle w:val="15"/>
        <w:ind w:firstLine="420" w:firstLineChars="200"/>
      </w:pPr>
      <w:r>
        <w:rPr>
          <w:rFonts w:hint="eastAsia"/>
          <w:lang w:val="en-US" w:eastAsia="zh-CN"/>
        </w:rPr>
        <w:t>供应商应</w:t>
      </w:r>
      <w:r>
        <w:rPr>
          <w:rFonts w:hint="eastAsia"/>
        </w:rPr>
        <w:t>结合</w:t>
      </w:r>
      <w:r>
        <w:rPr>
          <w:rFonts w:hint="eastAsia"/>
          <w:lang w:val="en-US" w:eastAsia="zh-CN"/>
        </w:rPr>
        <w:t>院方</w:t>
      </w:r>
      <w:r>
        <w:rPr>
          <w:rFonts w:hint="eastAsia"/>
        </w:rPr>
        <w:t>的实际需求，以优惠价格提供高质量的技术后援支持。包括：</w:t>
      </w:r>
    </w:p>
    <w:p>
      <w:pPr>
        <w:pStyle w:val="15"/>
        <w:ind w:firstLine="420" w:firstLineChars="200"/>
      </w:pPr>
      <w:r>
        <w:rPr>
          <w:rFonts w:hint="eastAsia"/>
        </w:rPr>
        <w:t>（1）咨询：系统服务期内，向</w:t>
      </w:r>
      <w:r>
        <w:rPr>
          <w:rFonts w:hint="eastAsia"/>
          <w:lang w:val="en-US" w:eastAsia="zh-CN"/>
        </w:rPr>
        <w:t>院方</w:t>
      </w:r>
      <w:r>
        <w:rPr>
          <w:rFonts w:hint="eastAsia"/>
        </w:rPr>
        <w:t>或</w:t>
      </w:r>
      <w:r>
        <w:rPr>
          <w:rFonts w:hint="eastAsia"/>
          <w:lang w:val="en-US" w:eastAsia="zh-CN"/>
        </w:rPr>
        <w:t>院方</w:t>
      </w:r>
      <w:r>
        <w:rPr>
          <w:rFonts w:hint="eastAsia"/>
        </w:rPr>
        <w:t>指定的承建商提供各种与产品相关的免费技术咨询服务（包括热线服务），包括热线电话，电子邮件（7×24），传真等方式。最迟在4小时以内做出反应、48小时内提出解决方案。</w:t>
      </w:r>
    </w:p>
    <w:p>
      <w:pPr>
        <w:pStyle w:val="15"/>
        <w:ind w:firstLine="420" w:firstLineChars="200"/>
      </w:pPr>
      <w:r>
        <w:rPr>
          <w:rFonts w:hint="eastAsia"/>
        </w:rPr>
        <w:t>（2）软件迁移与二次安装： 主要针对硬件环境变更或其他原因需要重新安装、软件迁移时，可在异地通过电话或电子邮件等其他方式配合</w:t>
      </w:r>
      <w:r>
        <w:rPr>
          <w:rFonts w:hint="eastAsia"/>
          <w:lang w:val="en-US" w:eastAsia="zh-CN"/>
        </w:rPr>
        <w:t>院方</w:t>
      </w:r>
      <w:r>
        <w:rPr>
          <w:rFonts w:hint="eastAsia"/>
        </w:rPr>
        <w:t>完成所供应软件的二次安装；也可以经双方协商后，达成共识，由</w:t>
      </w:r>
      <w:r>
        <w:rPr>
          <w:rFonts w:hint="eastAsia"/>
          <w:lang w:val="en-US" w:eastAsia="zh-CN"/>
        </w:rPr>
        <w:t>供应商</w:t>
      </w:r>
      <w:r>
        <w:rPr>
          <w:rFonts w:hint="eastAsia"/>
        </w:rPr>
        <w:t>派出技术项目经理作现场技术指导安装或直接安装。</w:t>
      </w:r>
    </w:p>
    <w:p>
      <w:pPr>
        <w:pStyle w:val="15"/>
        <w:ind w:firstLine="420" w:firstLineChars="200"/>
      </w:pPr>
      <w:r>
        <w:rPr>
          <w:rFonts w:hint="eastAsia"/>
        </w:rPr>
        <w:t>（3）软件升级：在服务期内，免费提供版本升级、产品换代更新。服务期满后，提供对相关软件升级提醒服务，协助制订升级计划，提供关于新版本改进性能的培训，远程或现场指导软件升级。</w:t>
      </w:r>
    </w:p>
    <w:p>
      <w:pPr>
        <w:pStyle w:val="15"/>
        <w:ind w:firstLine="420" w:firstLineChars="200"/>
      </w:pPr>
      <w:r>
        <w:rPr>
          <w:rFonts w:hint="eastAsia"/>
        </w:rPr>
        <w:t>（4）状态报告和故障预测：在保修期内，在征得</w:t>
      </w:r>
      <w:r>
        <w:rPr>
          <w:rFonts w:hint="eastAsia"/>
          <w:lang w:val="en-US" w:eastAsia="zh-CN"/>
        </w:rPr>
        <w:t>院方</w:t>
      </w:r>
      <w:r>
        <w:rPr>
          <w:rFonts w:hint="eastAsia"/>
        </w:rPr>
        <w:t>同意的条件下，</w:t>
      </w:r>
      <w:r>
        <w:rPr>
          <w:rFonts w:hint="eastAsia"/>
          <w:lang w:val="en-US" w:eastAsia="zh-CN"/>
        </w:rPr>
        <w:t>供应商</w:t>
      </w:r>
      <w:r>
        <w:rPr>
          <w:rFonts w:hint="eastAsia"/>
        </w:rPr>
        <w:t>定期通过远程方式监测用户系统的运行状况，或现场对系统进行检查，对应用系统现状做出评估，预测可能出现的故障，并提出预防策略以及提高系统软件性能的优化建议。</w:t>
      </w:r>
    </w:p>
    <w:p>
      <w:pPr>
        <w:pStyle w:val="15"/>
        <w:ind w:firstLine="420" w:firstLineChars="200"/>
      </w:pPr>
      <w:r>
        <w:rPr>
          <w:rFonts w:hint="eastAsia"/>
        </w:rPr>
        <w:t>（5）优化系统：在实际运行时，</w:t>
      </w:r>
      <w:r>
        <w:rPr>
          <w:rFonts w:hint="eastAsia"/>
          <w:lang w:val="en-US" w:eastAsia="zh-CN"/>
        </w:rPr>
        <w:t>供应商应</w:t>
      </w:r>
      <w:r>
        <w:rPr>
          <w:rFonts w:hint="eastAsia"/>
        </w:rPr>
        <w:t>根据业务运行情况、网络情况继续对应用软件平台的系统参数提供优化建议，确保系统随着业务的发展能够持续、稳定、高效地运行。</w:t>
      </w:r>
    </w:p>
    <w:p>
      <w:pPr>
        <w:pStyle w:val="15"/>
        <w:ind w:firstLine="420" w:firstLineChars="200"/>
      </w:pPr>
      <w:r>
        <w:rPr>
          <w:rFonts w:hint="eastAsia"/>
        </w:rPr>
        <w:t>（6）扩容与改造建议： 当</w:t>
      </w:r>
      <w:r>
        <w:rPr>
          <w:rFonts w:hint="eastAsia"/>
          <w:lang w:val="en-US" w:eastAsia="zh-CN"/>
        </w:rPr>
        <w:t>院方</w:t>
      </w:r>
      <w:r>
        <w:rPr>
          <w:rFonts w:hint="eastAsia"/>
        </w:rPr>
        <w:t>软件功能扩充或网络性能、应用系统性能下降时，</w:t>
      </w:r>
      <w:r>
        <w:rPr>
          <w:rFonts w:hint="eastAsia"/>
          <w:lang w:val="en-US" w:eastAsia="zh-CN"/>
        </w:rPr>
        <w:t>供应商应</w:t>
      </w:r>
      <w:r>
        <w:rPr>
          <w:rFonts w:hint="eastAsia"/>
        </w:rPr>
        <w:t>主动或根据</w:t>
      </w:r>
      <w:r>
        <w:rPr>
          <w:rFonts w:hint="eastAsia"/>
          <w:lang w:val="en-US" w:eastAsia="zh-CN"/>
        </w:rPr>
        <w:t>院方</w:t>
      </w:r>
      <w:r>
        <w:rPr>
          <w:rFonts w:hint="eastAsia"/>
        </w:rPr>
        <w:t>要求，分析系统现状或故障情况，在深入了解用户目前及未来几年内的需求后，对网络扩容和改造、应用系统平台建设、应用系统改造提出合理化建议，并及时提供实施方案。</w:t>
      </w:r>
    </w:p>
    <w:p>
      <w:pPr>
        <w:pStyle w:val="15"/>
        <w:ind w:firstLine="420" w:firstLineChars="200"/>
      </w:pPr>
      <w:bookmarkStart w:id="13" w:name="_Toc503803601"/>
      <w:r>
        <w:rPr>
          <w:rFonts w:hint="eastAsia"/>
        </w:rPr>
        <w:t>7.5、技术后援支持方式</w:t>
      </w:r>
      <w:bookmarkEnd w:id="13"/>
    </w:p>
    <w:p>
      <w:pPr>
        <w:pStyle w:val="15"/>
        <w:ind w:firstLine="420" w:firstLineChars="200"/>
      </w:pPr>
      <w:r>
        <w:rPr>
          <w:rFonts w:hint="eastAsia"/>
        </w:rPr>
        <w:t>远程支持——采用电话指导或远程登录、电子邮件等方式提供技术支持。 现场技术服务——当远程支持无法解决用户问题时，指派技术人员、协调厂商提供现场技术服务。</w:t>
      </w:r>
    </w:p>
    <w:p>
      <w:pPr>
        <w:pStyle w:val="15"/>
        <w:ind w:firstLine="420" w:firstLineChars="200"/>
      </w:pPr>
      <w:r>
        <w:rPr>
          <w:rFonts w:hint="eastAsia"/>
        </w:rPr>
        <w:t>定期跟踪——应用系统安装、验收完毕后，随时定期通过电话跟踪使用情况，及时了解存在的问题，并随时给予解决。必要时，</w:t>
      </w:r>
      <w:r>
        <w:rPr>
          <w:rFonts w:hint="eastAsia"/>
          <w:lang w:val="en-US" w:eastAsia="zh-CN"/>
        </w:rPr>
        <w:t>需</w:t>
      </w:r>
      <w:r>
        <w:rPr>
          <w:rFonts w:hint="eastAsia"/>
        </w:rPr>
        <w:t>派遣技术人员到现场解决存在的问题。定期派遣技术人员现场回访，了解应用系统的运行情况，听取意见和建议，解决存在的问题。</w:t>
      </w:r>
    </w:p>
    <w:p>
      <w:pPr>
        <w:pStyle w:val="15"/>
        <w:ind w:firstLine="420" w:firstLineChars="200"/>
      </w:pPr>
      <w:bookmarkStart w:id="14" w:name="_Toc503803602"/>
      <w:r>
        <w:rPr>
          <w:rFonts w:hint="eastAsia"/>
        </w:rPr>
        <w:t>7.6、保修及系统维护服务</w:t>
      </w:r>
      <w:bookmarkEnd w:id="14"/>
    </w:p>
    <w:p>
      <w:pPr>
        <w:pStyle w:val="15"/>
        <w:ind w:firstLine="420" w:firstLineChars="200"/>
      </w:pPr>
      <w:r>
        <w:rPr>
          <w:rFonts w:hint="eastAsia"/>
        </w:rPr>
        <w:t>在系统安装调试完毕并通过最终验收后，即进入系统的维护期。从这个阶段开始，</w:t>
      </w:r>
      <w:r>
        <w:rPr>
          <w:rFonts w:hint="eastAsia"/>
          <w:lang w:val="en-US" w:eastAsia="zh-CN"/>
        </w:rPr>
        <w:t>应</w:t>
      </w:r>
      <w:r>
        <w:rPr>
          <w:rFonts w:hint="eastAsia"/>
        </w:rPr>
        <w:t>根据</w:t>
      </w:r>
      <w:r>
        <w:rPr>
          <w:rFonts w:hint="eastAsia"/>
          <w:lang w:val="en-US" w:eastAsia="zh-CN"/>
        </w:rPr>
        <w:t>院方</w:t>
      </w:r>
      <w:r>
        <w:rPr>
          <w:rFonts w:hint="eastAsia"/>
        </w:rPr>
        <w:t>的需要，提供远程维护（采用电话指导或远程登录）和现场故障抢修两种技术支援方式。</w:t>
      </w:r>
    </w:p>
    <w:p>
      <w:pPr>
        <w:pStyle w:val="15"/>
        <w:ind w:firstLine="420" w:firstLineChars="200"/>
      </w:pPr>
      <w:bookmarkStart w:id="15" w:name="_Toc125920770"/>
      <w:bookmarkStart w:id="16" w:name="_Toc503803603"/>
      <w:r>
        <w:rPr>
          <w:rFonts w:hint="eastAsia"/>
        </w:rPr>
        <w:t>7.7、紧急事件响应</w:t>
      </w:r>
      <w:bookmarkEnd w:id="15"/>
      <w:bookmarkEnd w:id="16"/>
    </w:p>
    <w:p>
      <w:pPr>
        <w:pStyle w:val="15"/>
        <w:ind w:firstLine="420" w:firstLineChars="200"/>
      </w:pPr>
      <w:bookmarkStart w:id="17" w:name="_Toc503803604"/>
      <w:r>
        <w:rPr>
          <w:rFonts w:hint="eastAsia"/>
        </w:rPr>
        <w:t>7.7.1、故障等级</w:t>
      </w:r>
      <w:bookmarkEnd w:id="17"/>
    </w:p>
    <w:p>
      <w:pPr>
        <w:pStyle w:val="15"/>
        <w:ind w:firstLine="420" w:firstLineChars="200"/>
      </w:pPr>
      <w:r>
        <w:rPr>
          <w:rFonts w:hint="eastAsia"/>
        </w:rPr>
        <w:t>故障等级按1~4级划分，其中1级最高，4级最低。</w:t>
      </w:r>
    </w:p>
    <w:p>
      <w:pPr>
        <w:pStyle w:val="15"/>
        <w:ind w:firstLine="420" w:firstLineChars="200"/>
      </w:pPr>
      <w:r>
        <w:rPr>
          <w:rFonts w:hint="eastAsia"/>
        </w:rPr>
        <w:t>一级故障，指严重故障，导致医院现场交易（扫码付、当面付）无法进行的故障；</w:t>
      </w:r>
    </w:p>
    <w:p>
      <w:pPr>
        <w:pStyle w:val="15"/>
        <w:ind w:firstLine="420" w:firstLineChars="200"/>
      </w:pPr>
      <w:r>
        <w:rPr>
          <w:rFonts w:hint="eastAsia"/>
        </w:rPr>
        <w:t>二级故障，指重要故障，导致医院服务窗无法正常使用的故障；</w:t>
      </w:r>
    </w:p>
    <w:p>
      <w:pPr>
        <w:pStyle w:val="15"/>
        <w:ind w:firstLine="420" w:firstLineChars="200"/>
      </w:pPr>
      <w:r>
        <w:rPr>
          <w:rFonts w:hint="eastAsia"/>
        </w:rPr>
        <w:t>三级故障，指轻微故障，对医院或用户有影响，但交易和服务功能能正常提供（例如页面偶尔有报错，但点击取消后仍能继续操作等）；</w:t>
      </w:r>
    </w:p>
    <w:p>
      <w:pPr>
        <w:pStyle w:val="15"/>
        <w:ind w:firstLine="420" w:firstLineChars="200"/>
      </w:pPr>
      <w:r>
        <w:rPr>
          <w:rFonts w:hint="eastAsia"/>
        </w:rPr>
        <w:t>四级故障，指用户体验故障，如页面缺少用户引导，或操作不符合用户习惯等，此类故障一般由运营人员收集后上报。</w:t>
      </w:r>
    </w:p>
    <w:p>
      <w:pPr>
        <w:pStyle w:val="15"/>
        <w:ind w:firstLine="420" w:firstLineChars="200"/>
      </w:pPr>
      <w:bookmarkStart w:id="18" w:name="_Toc503803605"/>
      <w:r>
        <w:rPr>
          <w:rFonts w:hint="eastAsia"/>
        </w:rPr>
        <w:t>7.7.2、处理机制</w:t>
      </w:r>
      <w:bookmarkEnd w:id="18"/>
    </w:p>
    <w:p>
      <w:pPr>
        <w:pStyle w:val="16"/>
        <w:spacing w:before="81" w:after="81"/>
        <w:ind w:firstLine="440"/>
        <w:rPr>
          <w:b/>
          <w:bCs/>
        </w:rPr>
      </w:pPr>
      <w:r>
        <w:rPr>
          <w:rFonts w:hint="eastAsia"/>
          <w:b/>
          <w:bCs/>
        </w:rPr>
        <w:t>一级</w:t>
      </w:r>
      <w:r>
        <w:rPr>
          <w:b/>
          <w:bCs/>
        </w:rPr>
        <w:t>故障</w:t>
      </w:r>
      <w:r>
        <w:rPr>
          <w:rFonts w:hint="eastAsia"/>
          <w:b/>
          <w:bCs/>
        </w:rPr>
        <w:t>处理机制</w:t>
      </w:r>
    </w:p>
    <w:p>
      <w:pPr>
        <w:pStyle w:val="15"/>
        <w:ind w:firstLine="420" w:firstLineChars="200"/>
      </w:pPr>
      <w:r>
        <w:rPr>
          <w:rFonts w:hint="eastAsia"/>
        </w:rPr>
        <w:t>A 远程登陆可用的情况下首先登陆排除故障，采用服务重启或重新部署的方式使服务恢复（注意处理前应报备院方了解及同意）；</w:t>
      </w:r>
    </w:p>
    <w:p>
      <w:pPr>
        <w:pStyle w:val="15"/>
        <w:ind w:firstLine="420" w:firstLineChars="200"/>
      </w:pPr>
      <w:r>
        <w:rPr>
          <w:rFonts w:hint="eastAsia"/>
        </w:rPr>
        <w:t>B远程登陆不可用的情况下应立即到服务器所在位置进行处理；</w:t>
      </w:r>
    </w:p>
    <w:p>
      <w:pPr>
        <w:pStyle w:val="15"/>
        <w:ind w:firstLine="420" w:firstLineChars="200"/>
      </w:pPr>
      <w:r>
        <w:rPr>
          <w:rFonts w:hint="eastAsia"/>
        </w:rPr>
        <w:t>C若于夜间或节假日医院不开诊的情况下，应联系医院方面了解情况并约定处理时间，并在医院开诊前（如第二天早上开始挂号前）完成处置；</w:t>
      </w:r>
    </w:p>
    <w:p>
      <w:pPr>
        <w:pStyle w:val="15"/>
        <w:ind w:firstLine="420" w:firstLineChars="200"/>
      </w:pPr>
      <w:r>
        <w:rPr>
          <w:rFonts w:hint="eastAsia"/>
        </w:rPr>
        <w:t>D 若项目实施技术人员无法自行处理的，需通知</w:t>
      </w:r>
      <w:r>
        <w:rPr>
          <w:rFonts w:hint="eastAsia"/>
          <w:lang w:val="en-US" w:eastAsia="zh-CN"/>
        </w:rPr>
        <w:t>相应负责人</w:t>
      </w:r>
      <w:r>
        <w:rPr>
          <w:rFonts w:hint="eastAsia"/>
        </w:rPr>
        <w:t>；</w:t>
      </w:r>
    </w:p>
    <w:p>
      <w:pPr>
        <w:pStyle w:val="15"/>
        <w:ind w:firstLine="420" w:firstLineChars="200"/>
      </w:pPr>
      <w:r>
        <w:rPr>
          <w:rFonts w:hint="eastAsia"/>
        </w:rPr>
        <w:t>E服务恢复后应将服务日志及故障情况发相应开发人员做后续故障分析和程序调整，以避免同样问题再度出现；</w:t>
      </w:r>
    </w:p>
    <w:p>
      <w:pPr>
        <w:pStyle w:val="15"/>
        <w:ind w:firstLine="420" w:firstLineChars="200"/>
      </w:pPr>
      <w:r>
        <w:rPr>
          <w:rFonts w:hint="eastAsia"/>
        </w:rPr>
        <w:t>F 同样问题出现三次以上的，应将情况</w:t>
      </w:r>
      <w:r>
        <w:rPr>
          <w:rFonts w:hint="eastAsia"/>
          <w:lang w:val="en-US" w:eastAsia="zh-CN"/>
        </w:rPr>
        <w:t>及时</w:t>
      </w:r>
      <w:r>
        <w:rPr>
          <w:rFonts w:hint="eastAsia"/>
        </w:rPr>
        <w:t>通报</w:t>
      </w:r>
      <w:r>
        <w:rPr>
          <w:rFonts w:hint="eastAsia"/>
          <w:lang w:val="en-US" w:eastAsia="zh-CN"/>
        </w:rPr>
        <w:t>并</w:t>
      </w:r>
      <w:r>
        <w:rPr>
          <w:rFonts w:hint="eastAsia"/>
        </w:rPr>
        <w:t>沟通解决方案；</w:t>
      </w:r>
    </w:p>
    <w:p>
      <w:pPr>
        <w:pStyle w:val="16"/>
        <w:spacing w:before="81" w:after="81"/>
        <w:ind w:firstLine="440"/>
        <w:rPr>
          <w:b/>
          <w:bCs/>
        </w:rPr>
      </w:pPr>
      <w:r>
        <w:rPr>
          <w:rFonts w:hint="eastAsia"/>
          <w:b/>
          <w:bCs/>
        </w:rPr>
        <w:t>二级故障处理机制</w:t>
      </w:r>
    </w:p>
    <w:p>
      <w:pPr>
        <w:pStyle w:val="15"/>
        <w:ind w:firstLine="420" w:firstLineChars="200"/>
      </w:pPr>
      <w:r>
        <w:rPr>
          <w:rFonts w:hint="eastAsia"/>
        </w:rPr>
        <w:t>A 远程登陆可用的情况下登陆排除故障，采用服务重启或重新部署的方式使服务恢复（注意处理前应报备院方了解及同意）；</w:t>
      </w:r>
    </w:p>
    <w:p>
      <w:pPr>
        <w:pStyle w:val="15"/>
        <w:ind w:firstLine="420" w:firstLineChars="200"/>
      </w:pPr>
      <w:r>
        <w:rPr>
          <w:rFonts w:hint="eastAsia"/>
        </w:rPr>
        <w:t>B远程登陆不可用的情况下应到服务器所在位置进行处理；</w:t>
      </w:r>
    </w:p>
    <w:p>
      <w:pPr>
        <w:pStyle w:val="15"/>
        <w:ind w:firstLine="420" w:firstLineChars="200"/>
      </w:pPr>
      <w:r>
        <w:rPr>
          <w:rFonts w:hint="eastAsia"/>
        </w:rPr>
        <w:t>C若于夜间或节假日医院不开诊的情况下，应联系医院方面了解情况并约定处理时间，并尽量争取在医院开诊前（如第二天早上开始挂号前）完成处置；</w:t>
      </w:r>
    </w:p>
    <w:p>
      <w:pPr>
        <w:pStyle w:val="15"/>
        <w:ind w:firstLine="420" w:firstLineChars="200"/>
      </w:pPr>
      <w:r>
        <w:rPr>
          <w:rFonts w:hint="eastAsia"/>
        </w:rPr>
        <w:t>D若项目实施技术人员无法自行处理的，应通知</w:t>
      </w:r>
      <w:r>
        <w:rPr>
          <w:rFonts w:hint="eastAsia"/>
          <w:lang w:val="en-US" w:eastAsia="zh-CN"/>
        </w:rPr>
        <w:t>相应负责人</w:t>
      </w:r>
      <w:r>
        <w:rPr>
          <w:rFonts w:hint="eastAsia"/>
        </w:rPr>
        <w:t>；</w:t>
      </w:r>
    </w:p>
    <w:p>
      <w:pPr>
        <w:pStyle w:val="15"/>
        <w:ind w:firstLine="420" w:firstLineChars="200"/>
      </w:pPr>
      <w:r>
        <w:rPr>
          <w:rFonts w:hint="eastAsia"/>
        </w:rPr>
        <w:t>E服务恢复后应将服务日志及故障情况发相应开发人员做后续故障分析和程序调整，以避免同样问题再度出现；</w:t>
      </w:r>
    </w:p>
    <w:p>
      <w:pPr>
        <w:pStyle w:val="15"/>
        <w:ind w:firstLine="420" w:firstLineChars="200"/>
      </w:pPr>
      <w:r>
        <w:rPr>
          <w:rFonts w:hint="eastAsia"/>
        </w:rPr>
        <w:t>F同样问题出现三次以上的，其故障级别上升到1级故障，应将情况</w:t>
      </w:r>
      <w:r>
        <w:rPr>
          <w:rFonts w:hint="eastAsia"/>
          <w:lang w:val="en-US" w:eastAsia="zh-CN"/>
        </w:rPr>
        <w:t>及时</w:t>
      </w:r>
      <w:r>
        <w:rPr>
          <w:rFonts w:hint="eastAsia"/>
        </w:rPr>
        <w:t>通报，并</w:t>
      </w:r>
      <w:r>
        <w:rPr>
          <w:rFonts w:hint="eastAsia"/>
          <w:lang w:val="en-US" w:eastAsia="zh-CN"/>
        </w:rPr>
        <w:t>提供</w:t>
      </w:r>
      <w:r>
        <w:rPr>
          <w:rFonts w:hint="eastAsia"/>
        </w:rPr>
        <w:t>解决方案；</w:t>
      </w:r>
    </w:p>
    <w:p>
      <w:pPr>
        <w:pStyle w:val="16"/>
        <w:spacing w:before="81" w:after="81"/>
        <w:ind w:firstLine="440"/>
        <w:rPr>
          <w:b/>
          <w:bCs/>
        </w:rPr>
      </w:pPr>
      <w:r>
        <w:rPr>
          <w:rFonts w:hint="eastAsia"/>
          <w:b/>
          <w:bCs/>
        </w:rPr>
        <w:t>对于</w:t>
      </w:r>
      <w:r>
        <w:rPr>
          <w:rFonts w:hint="eastAsia"/>
          <w:b/>
          <w:bCs/>
          <w:lang w:val="en-US" w:eastAsia="zh-CN"/>
        </w:rPr>
        <w:t>三</w:t>
      </w:r>
      <w:r>
        <w:rPr>
          <w:rFonts w:hint="eastAsia"/>
          <w:b/>
          <w:bCs/>
        </w:rPr>
        <w:t>级故障</w:t>
      </w:r>
    </w:p>
    <w:p>
      <w:pPr>
        <w:pStyle w:val="15"/>
        <w:ind w:firstLine="420" w:firstLineChars="200"/>
      </w:pPr>
      <w:r>
        <w:rPr>
          <w:rFonts w:hint="eastAsia"/>
        </w:rPr>
        <w:t>A 技术实施人员定期收集和整理这些故障，并</w:t>
      </w:r>
      <w:r>
        <w:rPr>
          <w:rFonts w:hint="eastAsia"/>
          <w:lang w:val="en-US" w:eastAsia="zh-CN"/>
        </w:rPr>
        <w:t>通知相关负责人</w:t>
      </w:r>
      <w:r>
        <w:rPr>
          <w:rFonts w:hint="eastAsia"/>
        </w:rPr>
        <w:t>，确定解决优先级，将高优先级（甚至一部分中优先级）故障列入版本更新清单，每周或最迟不长于每两周更新解决；</w:t>
      </w:r>
    </w:p>
    <w:p>
      <w:pPr>
        <w:pStyle w:val="15"/>
        <w:ind w:firstLine="420" w:firstLineChars="200"/>
      </w:pPr>
      <w:r>
        <w:rPr>
          <w:rFonts w:hint="eastAsia"/>
        </w:rPr>
        <w:t>B 若项目实施技术人员无法自行处理的，应通知</w:t>
      </w:r>
      <w:r>
        <w:rPr>
          <w:rFonts w:hint="eastAsia"/>
          <w:lang w:val="en-US" w:eastAsia="zh-CN"/>
        </w:rPr>
        <w:t>相关负责人</w:t>
      </w:r>
      <w:r>
        <w:rPr>
          <w:rFonts w:hint="eastAsia"/>
        </w:rPr>
        <w:t>；</w:t>
      </w:r>
    </w:p>
    <w:p>
      <w:pPr>
        <w:pStyle w:val="15"/>
        <w:ind w:firstLine="420" w:firstLineChars="200"/>
      </w:pPr>
      <w:r>
        <w:rPr>
          <w:rFonts w:hint="eastAsia"/>
        </w:rPr>
        <w:t>C服务恢复后应将服务日志及故障情况发相应开发人员做后续故障分析和程序调整，以避免同样问题再度出现；</w:t>
      </w:r>
    </w:p>
    <w:p>
      <w:pPr>
        <w:pStyle w:val="15"/>
        <w:ind w:firstLine="420" w:firstLineChars="200"/>
      </w:pPr>
      <w:r>
        <w:rPr>
          <w:rFonts w:hint="eastAsia"/>
        </w:rPr>
        <w:t>D 所有问题清单以及解决时间表应通知到医院相关人员。</w:t>
      </w:r>
    </w:p>
    <w:p>
      <w:pPr>
        <w:pStyle w:val="16"/>
        <w:spacing w:before="81" w:after="81"/>
        <w:ind w:firstLine="440"/>
        <w:rPr>
          <w:b/>
          <w:bCs/>
        </w:rPr>
      </w:pPr>
      <w:r>
        <w:rPr>
          <w:rFonts w:hint="eastAsia"/>
          <w:b/>
          <w:bCs/>
        </w:rPr>
        <w:t>对于</w:t>
      </w:r>
      <w:r>
        <w:rPr>
          <w:rFonts w:hint="eastAsia"/>
          <w:b/>
          <w:bCs/>
          <w:lang w:val="en-US" w:eastAsia="zh-CN"/>
        </w:rPr>
        <w:t>四</w:t>
      </w:r>
      <w:r>
        <w:rPr>
          <w:rFonts w:hint="eastAsia"/>
          <w:b/>
          <w:bCs/>
        </w:rPr>
        <w:t>级故障处理机制</w:t>
      </w:r>
    </w:p>
    <w:p>
      <w:pPr>
        <w:pStyle w:val="15"/>
        <w:ind w:firstLine="420" w:firstLineChars="200"/>
      </w:pPr>
      <w:r>
        <w:rPr>
          <w:rFonts w:hint="eastAsia"/>
        </w:rPr>
        <w:t>A 项目实施技术人员、运营人员等项目相关人员应定期汇总所了解到的各种可用性问题，确定问题的等级；</w:t>
      </w:r>
    </w:p>
    <w:p>
      <w:pPr>
        <w:pStyle w:val="15"/>
        <w:ind w:firstLine="420" w:firstLineChars="200"/>
      </w:pPr>
      <w:r>
        <w:rPr>
          <w:rFonts w:hint="eastAsia"/>
        </w:rPr>
        <w:t>B 根据该清单及规划，确定具体的修改方案及时间表，并通</w:t>
      </w:r>
      <w:r>
        <w:rPr>
          <w:rFonts w:hint="eastAsia"/>
          <w:lang w:val="en-US" w:eastAsia="zh-CN"/>
        </w:rPr>
        <w:t>知相关部门</w:t>
      </w:r>
      <w:r>
        <w:rPr>
          <w:rFonts w:hint="eastAsia"/>
        </w:rPr>
        <w:t>；</w:t>
      </w:r>
    </w:p>
    <w:p>
      <w:pPr>
        <w:pStyle w:val="15"/>
        <w:ind w:firstLine="420" w:firstLineChars="200"/>
      </w:pPr>
      <w:r>
        <w:rPr>
          <w:rFonts w:hint="eastAsia"/>
        </w:rPr>
        <w:t>C 个别反响比较大、影响面比较广的问题，应在下一个迭代版本中予以处理。</w:t>
      </w:r>
    </w:p>
    <w:p>
      <w:pPr>
        <w:pStyle w:val="16"/>
        <w:spacing w:before="81" w:after="81"/>
        <w:ind w:firstLine="440"/>
        <w:rPr>
          <w:b/>
          <w:bCs/>
        </w:rPr>
      </w:pPr>
      <w:r>
        <w:rPr>
          <w:rFonts w:hint="eastAsia"/>
          <w:b/>
          <w:bCs/>
        </w:rPr>
        <w:t>通知及告知</w:t>
      </w:r>
    </w:p>
    <w:p>
      <w:pPr>
        <w:pStyle w:val="15"/>
        <w:ind w:firstLine="420" w:firstLineChars="200"/>
      </w:pPr>
      <w:r>
        <w:rPr>
          <w:rFonts w:hint="eastAsia"/>
        </w:rPr>
        <w:t>A 发生故障后，首先应通知</w:t>
      </w:r>
      <w:r>
        <w:rPr>
          <w:rFonts w:hint="eastAsia"/>
          <w:lang w:val="en-US" w:eastAsia="zh-CN"/>
        </w:rPr>
        <w:t>负责人员</w:t>
      </w:r>
      <w:r>
        <w:rPr>
          <w:rFonts w:hint="eastAsia"/>
        </w:rPr>
        <w:t>及医院院方相关人员，使之了解发生什么问题、对医院有什么影响、医院该如何应对等等；</w:t>
      </w:r>
    </w:p>
    <w:p>
      <w:pPr>
        <w:pStyle w:val="15"/>
        <w:ind w:firstLine="420" w:firstLineChars="200"/>
      </w:pPr>
      <w:r>
        <w:rPr>
          <w:rFonts w:hint="eastAsia"/>
        </w:rPr>
        <w:t>B需要技术人员和产品人员介入时还应通知</w:t>
      </w:r>
      <w:r>
        <w:rPr>
          <w:rFonts w:hint="eastAsia"/>
          <w:lang w:val="en-US" w:eastAsia="zh-CN"/>
        </w:rPr>
        <w:t>相应</w:t>
      </w:r>
      <w:r>
        <w:rPr>
          <w:rFonts w:hint="eastAsia"/>
        </w:rPr>
        <w:t>负责人；</w:t>
      </w:r>
    </w:p>
    <w:p>
      <w:pPr>
        <w:pStyle w:val="15"/>
        <w:ind w:firstLine="420" w:firstLineChars="200"/>
      </w:pPr>
      <w:r>
        <w:rPr>
          <w:rFonts w:hint="eastAsia"/>
        </w:rPr>
        <w:t>C 故障排除后，及时通知</w:t>
      </w:r>
      <w:r>
        <w:rPr>
          <w:rFonts w:hint="eastAsia"/>
          <w:lang w:val="en-US" w:eastAsia="zh-CN"/>
        </w:rPr>
        <w:t>相关人员</w:t>
      </w:r>
      <w:r>
        <w:rPr>
          <w:rFonts w:hint="eastAsia"/>
        </w:rPr>
        <w:t>、院方相关人员、负责人。</w:t>
      </w:r>
    </w:p>
    <w:p>
      <w:r>
        <w:rPr>
          <w:rFonts w:hint="eastAsia"/>
        </w:rPr>
        <w:t>8.投入人员：驻场1人。</w:t>
      </w:r>
    </w:p>
    <w:p>
      <w:r>
        <w:rPr>
          <w:rFonts w:hint="eastAsia"/>
        </w:rPr>
        <w:t>9. 服务/运维价格是否一次谈判三年有效，</w:t>
      </w:r>
      <w:r>
        <w:rPr>
          <w:rFonts w:hint="eastAsia" w:asciiTheme="minorEastAsia" w:hAnsiTheme="minorEastAsia"/>
        </w:rPr>
        <w:t>☑</w:t>
      </w:r>
      <w:r>
        <w:rPr>
          <w:rFonts w:hint="eastAsia"/>
        </w:rPr>
        <w:t xml:space="preserve">是  </w:t>
      </w:r>
      <w:r>
        <w:rPr>
          <w:rFonts w:hint="eastAsia" w:asciiTheme="minorEastAsia" w:hAnsiTheme="minorEastAsia"/>
        </w:rPr>
        <w:t>□</w:t>
      </w:r>
      <w:r>
        <w:rPr>
          <w:rFonts w:hint="eastAsia"/>
        </w:rPr>
        <w:t>否</w:t>
      </w:r>
    </w:p>
    <w:p>
      <w:r>
        <w:rPr>
          <w:rFonts w:hint="eastAsia"/>
        </w:rPr>
        <w:t>10.其他要求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DD716"/>
    <w:multiLevelType w:val="singleLevel"/>
    <w:tmpl w:val="ADCDD716"/>
    <w:lvl w:ilvl="0" w:tentative="0">
      <w:start w:val="7"/>
      <w:numFmt w:val="decimal"/>
      <w:lvlText w:val="%1."/>
      <w:lvlJc w:val="left"/>
      <w:pPr>
        <w:tabs>
          <w:tab w:val="left" w:pos="312"/>
        </w:tabs>
      </w:pPr>
    </w:lvl>
  </w:abstractNum>
  <w:abstractNum w:abstractNumId="1">
    <w:nsid w:val="443A3081"/>
    <w:multiLevelType w:val="multilevel"/>
    <w:tmpl w:val="443A30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2A5E70"/>
    <w:multiLevelType w:val="multilevel"/>
    <w:tmpl w:val="7A2A5E70"/>
    <w:lvl w:ilvl="0" w:tentative="0">
      <w:start w:val="1"/>
      <w:numFmt w:val="decimal"/>
      <w:lvlText w:val="%1"/>
      <w:lvlJc w:val="left"/>
      <w:pPr>
        <w:ind w:left="2268" w:hanging="425"/>
      </w:pPr>
      <w:rPr>
        <w:rFonts w:hint="eastAsia"/>
        <w:b/>
        <w:bCs w:val="0"/>
        <w:sz w:val="36"/>
        <w:szCs w:val="36"/>
      </w:rPr>
    </w:lvl>
    <w:lvl w:ilvl="1" w:tentative="0">
      <w:start w:val="1"/>
      <w:numFmt w:val="decimal"/>
      <w:lvlText w:val="%1.%2"/>
      <w:lvlJc w:val="left"/>
      <w:pPr>
        <w:ind w:left="2835" w:hanging="567"/>
      </w:pPr>
      <w:rPr>
        <w:rFonts w:hint="default" w:eastAsia="宋体" w:asciiTheme="minorEastAsia"/>
        <w:b/>
        <w:i w:val="0"/>
        <w:sz w:val="36"/>
        <w:szCs w:val="36"/>
      </w:rPr>
    </w:lvl>
    <w:lvl w:ilvl="2" w:tentative="0">
      <w:start w:val="1"/>
      <w:numFmt w:val="decimal"/>
      <w:pStyle w:val="2"/>
      <w:lvlText w:val="%1.%2.%3"/>
      <w:lvlJc w:val="left"/>
      <w:pPr>
        <w:ind w:left="2410" w:hanging="567"/>
      </w:pPr>
      <w:rPr>
        <w:rFonts w:hint="eastAsia" w:asciiTheme="minorEastAsia" w:hAnsiTheme="minorEastAsia" w:eastAsiaTheme="minorEastAsia"/>
        <w:b/>
        <w:i w:val="0"/>
        <w:sz w:val="30"/>
      </w:rPr>
    </w:lvl>
    <w:lvl w:ilvl="3" w:tentative="0">
      <w:start w:val="1"/>
      <w:numFmt w:val="decimal"/>
      <w:pStyle w:val="3"/>
      <w:lvlText w:val="%1.%2.%3.%4"/>
      <w:lvlJc w:val="left"/>
      <w:pPr>
        <w:ind w:left="3827" w:hanging="708"/>
      </w:pPr>
      <w:rPr>
        <w:rFonts w:hint="eastAsia" w:asciiTheme="minorEastAsia" w:hAnsiTheme="minorEastAsia" w:eastAsiaTheme="minorEastAsia"/>
        <w:b/>
        <w:i w:val="0"/>
        <w:sz w:val="28"/>
      </w:rPr>
    </w:lvl>
    <w:lvl w:ilvl="4" w:tentative="0">
      <w:start w:val="1"/>
      <w:numFmt w:val="decimal"/>
      <w:pStyle w:val="4"/>
      <w:lvlText w:val="%1.%2.%3.%4.%5"/>
      <w:lvlJc w:val="left"/>
      <w:pPr>
        <w:ind w:left="4394" w:hanging="850"/>
      </w:pPr>
      <w:rPr>
        <w:rFonts w:hint="eastAsia" w:eastAsia="宋体"/>
        <w:b/>
        <w:i w:val="0"/>
        <w:sz w:val="24"/>
      </w:rPr>
    </w:lvl>
    <w:lvl w:ilvl="5" w:tentative="0">
      <w:start w:val="1"/>
      <w:numFmt w:val="decimal"/>
      <w:lvlText w:val="%1.%2.%3.%4.%5.%6"/>
      <w:lvlJc w:val="left"/>
      <w:pPr>
        <w:ind w:left="5103" w:hanging="1134"/>
      </w:pPr>
      <w:rPr>
        <w:rFonts w:hint="eastAsia" w:eastAsia="宋体"/>
        <w:b/>
        <w:i w:val="0"/>
        <w:sz w:val="24"/>
      </w:rPr>
    </w:lvl>
    <w:lvl w:ilvl="6" w:tentative="0">
      <w:start w:val="1"/>
      <w:numFmt w:val="decimal"/>
      <w:lvlText w:val="%1.%2.%3.%4.%5.%6.%7"/>
      <w:lvlJc w:val="left"/>
      <w:pPr>
        <w:ind w:left="5670" w:hanging="1276"/>
      </w:pPr>
      <w:rPr>
        <w:rFonts w:hint="eastAsia" w:ascii="宋体" w:hAnsi="宋体" w:eastAsia="宋体"/>
        <w:b/>
        <w:i w:val="0"/>
        <w:sz w:val="24"/>
        <w:szCs w:val="24"/>
      </w:rPr>
    </w:lvl>
    <w:lvl w:ilvl="7" w:tentative="0">
      <w:start w:val="1"/>
      <w:numFmt w:val="decimal"/>
      <w:lvlText w:val="%1.%2.%3.%4.%5.%6.%7.%8"/>
      <w:lvlJc w:val="left"/>
      <w:pPr>
        <w:ind w:left="6237" w:hanging="1418"/>
      </w:pPr>
      <w:rPr>
        <w:rFonts w:hint="eastAsia"/>
      </w:rPr>
    </w:lvl>
    <w:lvl w:ilvl="8" w:tentative="0">
      <w:start w:val="1"/>
      <w:numFmt w:val="decimal"/>
      <w:lvlText w:val="%1.%2.%3.%4.%5.%6.%7.%8.%9"/>
      <w:lvlJc w:val="left"/>
      <w:pPr>
        <w:ind w:left="6945"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jE0ZGYxMDBmNDA4MDZiMmYyNjJjZTc3YzZkOTMifQ=="/>
  </w:docVars>
  <w:rsids>
    <w:rsidRoot w:val="000D5055"/>
    <w:rsid w:val="00064C38"/>
    <w:rsid w:val="000D5055"/>
    <w:rsid w:val="001B6F1E"/>
    <w:rsid w:val="00561806"/>
    <w:rsid w:val="005677FF"/>
    <w:rsid w:val="005E035F"/>
    <w:rsid w:val="006C26ED"/>
    <w:rsid w:val="006C30EC"/>
    <w:rsid w:val="00712B34"/>
    <w:rsid w:val="00943CAA"/>
    <w:rsid w:val="00961F24"/>
    <w:rsid w:val="009A1369"/>
    <w:rsid w:val="00B146E8"/>
    <w:rsid w:val="00B808F0"/>
    <w:rsid w:val="00C95509"/>
    <w:rsid w:val="00E957CF"/>
    <w:rsid w:val="02C3589B"/>
    <w:rsid w:val="07072967"/>
    <w:rsid w:val="09CD44CE"/>
    <w:rsid w:val="0A2E2D1E"/>
    <w:rsid w:val="0E272D67"/>
    <w:rsid w:val="0EA715C8"/>
    <w:rsid w:val="186C2079"/>
    <w:rsid w:val="1B5A2B15"/>
    <w:rsid w:val="1BDE3487"/>
    <w:rsid w:val="24346EAE"/>
    <w:rsid w:val="26BE7547"/>
    <w:rsid w:val="28810F8E"/>
    <w:rsid w:val="2AB11C6D"/>
    <w:rsid w:val="2E9E47DE"/>
    <w:rsid w:val="36AC3C67"/>
    <w:rsid w:val="37DC0CC4"/>
    <w:rsid w:val="3C4E0CC8"/>
    <w:rsid w:val="3CE523C5"/>
    <w:rsid w:val="3D03779C"/>
    <w:rsid w:val="4046288C"/>
    <w:rsid w:val="41C826C6"/>
    <w:rsid w:val="45071DAC"/>
    <w:rsid w:val="47402BAF"/>
    <w:rsid w:val="49DB676B"/>
    <w:rsid w:val="4B2F700D"/>
    <w:rsid w:val="564725B8"/>
    <w:rsid w:val="56A95021"/>
    <w:rsid w:val="581A7F84"/>
    <w:rsid w:val="5ABE1750"/>
    <w:rsid w:val="5BAC15F8"/>
    <w:rsid w:val="64C912C9"/>
    <w:rsid w:val="652C29E6"/>
    <w:rsid w:val="66D649B3"/>
    <w:rsid w:val="6A2820A4"/>
    <w:rsid w:val="753D4E5A"/>
    <w:rsid w:val="75797145"/>
    <w:rsid w:val="76D57A40"/>
    <w:rsid w:val="77EC24DD"/>
    <w:rsid w:val="7869596B"/>
    <w:rsid w:val="79420C91"/>
    <w:rsid w:val="7C2E19A1"/>
    <w:rsid w:val="7F22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numPr>
        <w:ilvl w:val="2"/>
        <w:numId w:val="1"/>
      </w:numPr>
      <w:spacing w:before="260" w:after="260"/>
      <w:outlineLvl w:val="2"/>
    </w:pPr>
    <w:rPr>
      <w:rFonts w:eastAsia="宋体"/>
      <w:b/>
      <w:bCs/>
      <w:sz w:val="32"/>
      <w:szCs w:val="32"/>
    </w:rPr>
  </w:style>
  <w:style w:type="paragraph" w:styleId="3">
    <w:name w:val="heading 4"/>
    <w:basedOn w:val="1"/>
    <w:next w:val="1"/>
    <w:unhideWhenUsed/>
    <w:qFormat/>
    <w:uiPriority w:val="0"/>
    <w:pPr>
      <w:keepNext/>
      <w:keepLines/>
      <w:numPr>
        <w:ilvl w:val="3"/>
        <w:numId w:val="1"/>
      </w:numPr>
      <w:spacing w:before="280" w:after="290"/>
      <w:outlineLvl w:val="3"/>
    </w:pPr>
    <w:rPr>
      <w:rFonts w:eastAsia="宋体" w:asciiTheme="majorHAnsi" w:hAnsiTheme="majorHAnsi" w:cstheme="majorBidi"/>
      <w:b/>
      <w:bCs/>
      <w:sz w:val="32"/>
      <w:szCs w:val="28"/>
    </w:rPr>
  </w:style>
  <w:style w:type="paragraph" w:styleId="4">
    <w:name w:val="heading 5"/>
    <w:basedOn w:val="1"/>
    <w:next w:val="1"/>
    <w:unhideWhenUsed/>
    <w:qFormat/>
    <w:uiPriority w:val="0"/>
    <w:pPr>
      <w:keepNext/>
      <w:keepLines/>
      <w:numPr>
        <w:ilvl w:val="4"/>
        <w:numId w:val="1"/>
      </w:numPr>
      <w:spacing w:before="280" w:after="290" w:line="377" w:lineRule="auto"/>
      <w:outlineLvl w:val="4"/>
    </w:pPr>
    <w:rPr>
      <w:rFonts w:ascii="宋体" w:hAnsi="宋体" w:eastAsia="宋体"/>
      <w:b/>
      <w:bCs/>
      <w:sz w:val="32"/>
      <w:szCs w:val="28"/>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2"/>
    <w:autoRedefine/>
    <w:semiHidden/>
    <w:unhideWhenUsed/>
    <w:qFormat/>
    <w:uiPriority w:val="99"/>
    <w:rPr>
      <w:sz w:val="18"/>
      <w:szCs w:val="18"/>
    </w:rPr>
  </w:style>
  <w:style w:type="paragraph" w:styleId="6">
    <w:name w:val="footer"/>
    <w:basedOn w:val="1"/>
    <w:link w:val="14"/>
    <w:autoRedefine/>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character" w:customStyle="1" w:styleId="12">
    <w:name w:val="批注框文本 Char"/>
    <w:basedOn w:val="10"/>
    <w:link w:val="5"/>
    <w:autoRedefine/>
    <w:semiHidden/>
    <w:qFormat/>
    <w:uiPriority w:val="99"/>
    <w:rPr>
      <w:sz w:val="18"/>
      <w:szCs w:val="18"/>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paragraph" w:customStyle="1" w:styleId="15">
    <w:name w:val="H正文"/>
    <w:basedOn w:val="1"/>
    <w:autoRedefine/>
    <w:qFormat/>
    <w:uiPriority w:val="0"/>
    <w:pPr>
      <w:jc w:val="left"/>
    </w:pPr>
    <w:rPr>
      <w:rFonts w:ascii="宋体" w:hAnsi="宋体" w:eastAsia="宋体"/>
      <w:szCs w:val="21"/>
    </w:rPr>
  </w:style>
  <w:style w:type="paragraph" w:customStyle="1" w:styleId="16">
    <w:name w:val="正文2"/>
    <w:basedOn w:val="1"/>
    <w:autoRedefine/>
    <w:qFormat/>
    <w:uiPriority w:val="0"/>
    <w:pPr>
      <w:widowControl/>
      <w:shd w:val="clear" w:color="auto" w:fill="FFFFFF"/>
      <w:spacing w:line="360" w:lineRule="auto"/>
      <w:ind w:firstLine="420"/>
      <w:jc w:val="left"/>
    </w:pPr>
    <w:rPr>
      <w:rFonts w:ascii="宋体" w:hAnsi="宋体" w:eastAsia="宋体" w:cs="Times New Roman"/>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626</Words>
  <Characters>3573</Characters>
  <Lines>29</Lines>
  <Paragraphs>8</Paragraphs>
  <TotalTime>15</TotalTime>
  <ScaleCrop>false</ScaleCrop>
  <LinksUpToDate>false</LinksUpToDate>
  <CharactersWithSpaces>4191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2024-01-08T01:51:00Z</dcterms:created>
  <dc:creator>胡佳迎</dc:creator>
  <cp:lastModifiedBy>策馬奔騰的FI無</cp:lastModifiedBy>
  <dcterms:modified xsi:type="dcterms:W3CDTF">2024-03-26T00:25:14Z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D4480B1CC8AF4EE9A2439283077921C5_13</vt:lpwstr>
  </property>
</Properties>
</file>