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</w:rPr>
      </w:pPr>
      <w:r>
        <w:rPr>
          <w:rFonts w:hint="eastAsia"/>
          <w:b/>
        </w:rPr>
        <w:t>三、服务或</w:t>
      </w:r>
      <w:r>
        <w:rPr>
          <w:b/>
        </w:rPr>
        <w:t>运维</w:t>
      </w:r>
      <w:r>
        <w:rPr>
          <w:rFonts w:hint="eastAsia"/>
          <w:b/>
        </w:rPr>
        <w:t>的</w:t>
      </w:r>
      <w:r>
        <w:rPr>
          <w:b/>
        </w:rPr>
        <w:t>需求参数</w:t>
      </w:r>
    </w:p>
    <w:p>
      <w:r>
        <w:rPr>
          <w:rFonts w:hint="eastAsia"/>
        </w:rPr>
        <w:t>1.</w:t>
      </w:r>
      <w:r>
        <w:t xml:space="preserve"> 项目名称及总体要求</w:t>
      </w:r>
    </w:p>
    <w:p>
      <w:r>
        <w:rPr>
          <w:rFonts w:hint="eastAsia"/>
        </w:rPr>
        <w:t>项目名称：恶黑病种库和科研平台移动端应用（患者端、医生端）项目</w:t>
      </w:r>
    </w:p>
    <w:p>
      <w:r>
        <w:rPr>
          <w:rFonts w:hint="eastAsia"/>
        </w:rPr>
        <w:t>总体要求：确保系统的日常运行，账号权限，病种信息维护，录入操作优化等工作。</w:t>
      </w:r>
    </w:p>
    <w:p>
      <w:r>
        <w:rPr>
          <w:rFonts w:hint="eastAsia"/>
        </w:rPr>
        <w:t>2.服务/运维对象及地点</w:t>
      </w:r>
    </w:p>
    <w:p>
      <w:r>
        <w:rPr>
          <w:rFonts w:hint="eastAsia"/>
        </w:rPr>
        <w:t>服务对象：复旦大学附属肿瘤医院</w:t>
      </w:r>
    </w:p>
    <w:p>
      <w:r>
        <w:rPr>
          <w:rFonts w:hint="eastAsia"/>
        </w:rPr>
        <w:t>地点：上海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3.周期：</w:t>
      </w:r>
      <w:r>
        <w:rPr>
          <w:rFonts w:hint="eastAsia"/>
          <w:lang w:val="en-US" w:eastAsia="zh-CN"/>
        </w:rPr>
        <w:t>一年</w:t>
      </w:r>
    </w:p>
    <w:p>
      <w:r>
        <w:rPr>
          <w:rFonts w:hint="eastAsia"/>
        </w:rPr>
        <w:t>4.服务及维护清单</w:t>
      </w: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66"/>
        <w:gridCol w:w="669"/>
        <w:gridCol w:w="1368"/>
        <w:gridCol w:w="132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8"/>
              <w:ind w:firstLine="0" w:firstLineChars="0"/>
            </w:pPr>
            <w:r>
              <w:t>序号</w:t>
            </w:r>
          </w:p>
        </w:tc>
        <w:tc>
          <w:tcPr>
            <w:tcW w:w="2066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一级</w:t>
            </w:r>
          </w:p>
        </w:tc>
        <w:tc>
          <w:tcPr>
            <w:tcW w:w="669" w:type="dxa"/>
          </w:tcPr>
          <w:p>
            <w:pPr>
              <w:pStyle w:val="8"/>
              <w:ind w:firstLine="0" w:firstLineChars="0"/>
            </w:pPr>
            <w:r>
              <w:t>二级</w:t>
            </w:r>
          </w:p>
        </w:tc>
        <w:tc>
          <w:tcPr>
            <w:tcW w:w="1368" w:type="dxa"/>
          </w:tcPr>
          <w:p>
            <w:pPr>
              <w:pStyle w:val="8"/>
              <w:ind w:firstLine="0" w:firstLineChars="0"/>
            </w:pPr>
            <w:r>
              <w:t>描述</w:t>
            </w:r>
            <w:r>
              <w:rPr>
                <w:rFonts w:hint="eastAsia"/>
              </w:rPr>
              <w:t>/型号</w:t>
            </w:r>
          </w:p>
        </w:tc>
        <w:tc>
          <w:tcPr>
            <w:tcW w:w="1323" w:type="dxa"/>
          </w:tcPr>
          <w:p>
            <w:pPr>
              <w:pStyle w:val="8"/>
              <w:ind w:firstLine="0" w:firstLineChars="0"/>
            </w:pPr>
            <w:r>
              <w:t>数量</w:t>
            </w:r>
          </w:p>
        </w:tc>
        <w:tc>
          <w:tcPr>
            <w:tcW w:w="1368" w:type="dxa"/>
          </w:tcPr>
          <w:p>
            <w:pPr>
              <w:pStyle w:val="8"/>
              <w:ind w:firstLine="0" w:firstLineChars="0"/>
            </w:pPr>
            <w:r>
              <w:t>指标重要性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2066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恶黑病种库</w:t>
            </w:r>
          </w:p>
        </w:tc>
        <w:tc>
          <w:tcPr>
            <w:tcW w:w="66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68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23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68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66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科研平台移动端应用（患者端、医生端）</w:t>
            </w:r>
          </w:p>
        </w:tc>
        <w:tc>
          <w:tcPr>
            <w:tcW w:w="66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68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23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68" w:type="dxa"/>
          </w:tcPr>
          <w:p>
            <w:pPr>
              <w:pStyle w:val="8"/>
              <w:ind w:firstLine="0" w:firstLineChars="0"/>
            </w:pPr>
          </w:p>
        </w:tc>
      </w:tr>
    </w:tbl>
    <w:p>
      <w:r>
        <w:rPr>
          <w:rFonts w:hint="eastAsia"/>
        </w:rPr>
        <w:t>5.日常服务/维护内容</w:t>
      </w:r>
    </w:p>
    <w:p>
      <w:r>
        <w:rPr>
          <w:rFonts w:hint="eastAsia"/>
        </w:rPr>
        <w:t>恶黑病种库维护：确保恶黑病种库流程顺利。</w:t>
      </w:r>
    </w:p>
    <w:p>
      <w:r>
        <w:rPr>
          <w:rFonts w:hint="eastAsia"/>
        </w:rPr>
        <w:t>科研平台移动端应用（患者端、医生端）：确保系统的日常运行，账号权限开放。</w:t>
      </w:r>
    </w:p>
    <w:p>
      <w:r>
        <w:rPr>
          <w:rFonts w:hint="eastAsia"/>
        </w:rPr>
        <w:t>6.功能完善及扩展性服务/维护</w:t>
      </w:r>
    </w:p>
    <w:p>
      <w:r>
        <w:rPr>
          <w:rFonts w:hint="eastAsia"/>
        </w:rPr>
        <w:t>扩展护理部新需求，完善护士问诊功能。</w:t>
      </w:r>
    </w:p>
    <w:p>
      <w:r>
        <w:rPr>
          <w:rFonts w:hint="eastAsia"/>
        </w:rPr>
        <w:t>7.服务/维护要求及方式：远程维护</w:t>
      </w:r>
    </w:p>
    <w:p>
      <w:r>
        <w:rPr>
          <w:rFonts w:hint="eastAsia"/>
        </w:rPr>
        <w:t>8.投入人员：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实施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项目管理人员</w:t>
      </w:r>
      <w:r>
        <w:rPr>
          <w:rFonts w:hint="eastAsia"/>
        </w:rPr>
        <w:t>。</w:t>
      </w:r>
    </w:p>
    <w:p>
      <w:r>
        <w:rPr>
          <w:rFonts w:hint="eastAsia"/>
        </w:rPr>
        <w:t>9. 服务/运维价格是否一次谈判三年有效，</w:t>
      </w:r>
      <w:r>
        <w:rPr>
          <w:rFonts w:hint="eastAsia" w:asciiTheme="minorEastAsia" w:hAnsiTheme="minorEastAsia"/>
          <w:lang w:eastAsia="zh-CN"/>
        </w:rPr>
        <w:t>☑</w:t>
      </w:r>
      <w:r>
        <w:rPr>
          <w:rFonts w:hint="eastAsia"/>
        </w:rPr>
        <w:t xml:space="preserve">是  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>否</w:t>
      </w:r>
    </w:p>
    <w:p>
      <w:r>
        <w:rPr>
          <w:rFonts w:hint="eastAsia"/>
        </w:rPr>
        <w:t>10.其他要求（数据统计、巡检服务、培训要求、供应商资质等）</w:t>
      </w:r>
    </w:p>
    <w:p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hint="eastAsia"/>
        </w:rPr>
        <w:t>*</w:t>
      </w:r>
      <w:r>
        <w:rPr>
          <w:rFonts w:hint="eastAsia" w:ascii="仿宋_GB2312" w:eastAsia="仿宋_GB2312"/>
          <w:sz w:val="20"/>
          <w:szCs w:val="28"/>
        </w:rPr>
        <w:t>指标按重要性分为“★”、“☆”、“#”和“△”。★代表实质性指标，不满足该指标项将导致投标被拒绝，☆代表优质优价指标，#代表重要指标，△则表示一般指标项。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MjE0ZGYxMDBmNDA4MDZiMmYyNjJjZTc3YzZkOTMifQ=="/>
  </w:docVars>
  <w:rsids>
    <w:rsidRoot w:val="000D5055"/>
    <w:rsid w:val="000D5055"/>
    <w:rsid w:val="001B6F1E"/>
    <w:rsid w:val="004B1B0B"/>
    <w:rsid w:val="00554F3B"/>
    <w:rsid w:val="005E035F"/>
    <w:rsid w:val="006C30EC"/>
    <w:rsid w:val="007A2535"/>
    <w:rsid w:val="00830AF3"/>
    <w:rsid w:val="008F1D47"/>
    <w:rsid w:val="009A1369"/>
    <w:rsid w:val="00A55B71"/>
    <w:rsid w:val="00B146E8"/>
    <w:rsid w:val="00B808F0"/>
    <w:rsid w:val="00E34668"/>
    <w:rsid w:val="00E957CF"/>
    <w:rsid w:val="0DCB32F3"/>
    <w:rsid w:val="2EE20265"/>
    <w:rsid w:val="5A9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3</TotalTime>
  <ScaleCrop>false</ScaleCrop>
  <LinksUpToDate>false</LinksUpToDate>
  <CharactersWithSpaces>512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2024-02-27T07:30:00Z</dcterms:created>
  <dc:creator>胡佳迎</dc:creator>
  <cp:lastModifiedBy>策馬奔騰的FI無</cp:lastModifiedBy>
  <dcterms:modified xsi:type="dcterms:W3CDTF">2024-04-17T01:28:12Z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B2BE0CC1ABB64EFDBCD6C2F6151CB48E_13</vt:lpwstr>
  </property>
</Properties>
</file>