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2A7A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项目名称</w:t>
      </w:r>
    </w:p>
    <w:p w14:paraId="59CAB342" w14:textId="1BFC9ECC" w:rsidR="00CA78BB" w:rsidRDefault="003A0D8F">
      <w:pPr>
        <w:pStyle w:val="a4"/>
        <w:ind w:firstLineChars="200" w:firstLine="480"/>
      </w:pPr>
      <w:r>
        <w:rPr>
          <w:rFonts w:hint="eastAsia"/>
        </w:rPr>
        <w:t>复旦大学附属肿瘤医院</w:t>
      </w:r>
      <w:r w:rsidR="003D09DB" w:rsidRPr="003D09DB">
        <w:rPr>
          <w:rFonts w:hint="eastAsia"/>
        </w:rPr>
        <w:t>信创评估服务</w:t>
      </w:r>
      <w:r w:rsidR="003D09DB">
        <w:rPr>
          <w:rFonts w:hint="eastAsia"/>
        </w:rPr>
        <w:t>项目</w:t>
      </w:r>
      <w:bookmarkStart w:id="0" w:name="_GoBack"/>
      <w:bookmarkEnd w:id="0"/>
    </w:p>
    <w:p w14:paraId="0928E608" w14:textId="77777777" w:rsidR="00CA78BB" w:rsidRDefault="00CA78BB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5C900C56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总体要求</w:t>
      </w:r>
    </w:p>
    <w:p w14:paraId="75C5A8FC" w14:textId="77777777" w:rsidR="00CA78BB" w:rsidRDefault="003A0D8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坚持以习近平总书记关于网络强国的重要思想为指导，坚持党对网络与数据安全工作的领导，牢牢守住城市数字化转型的网络与数据安全底线，</w:t>
      </w:r>
      <w:proofErr w:type="gramStart"/>
      <w:r>
        <w:rPr>
          <w:rFonts w:ascii="宋体" w:hAnsi="宋体" w:cs="宋体" w:hint="eastAsia"/>
          <w:sz w:val="24"/>
        </w:rPr>
        <w:t>以总体</w:t>
      </w:r>
      <w:proofErr w:type="gramEnd"/>
      <w:r>
        <w:rPr>
          <w:rFonts w:ascii="宋体" w:hAnsi="宋体" w:cs="宋体" w:hint="eastAsia"/>
          <w:sz w:val="24"/>
        </w:rPr>
        <w:t>国家安全观为指引，以网络安全为基础、数据安全为核心，以</w:t>
      </w:r>
      <w:proofErr w:type="gramStart"/>
      <w:r>
        <w:rPr>
          <w:rFonts w:ascii="宋体" w:hAnsi="宋体" w:cs="宋体" w:hint="eastAsia"/>
          <w:sz w:val="24"/>
        </w:rPr>
        <w:t>深化信创</w:t>
      </w:r>
      <w:proofErr w:type="gramEnd"/>
      <w:r>
        <w:rPr>
          <w:rFonts w:ascii="宋体" w:hAnsi="宋体" w:cs="宋体" w:hint="eastAsia"/>
          <w:sz w:val="24"/>
        </w:rPr>
        <w:t>工作为引领、国密应用为支撑，进一步规范使用正版软件行为,全面提升网络与数据安全防护与建设能力。</w:t>
      </w:r>
    </w:p>
    <w:p w14:paraId="105AC8E1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服务/运</w:t>
      </w:r>
      <w:proofErr w:type="gramStart"/>
      <w:r>
        <w:rPr>
          <w:rFonts w:ascii="宋体" w:hAnsi="宋体" w:cs="宋体" w:hint="eastAsia"/>
          <w:b/>
          <w:color w:val="000000"/>
          <w:sz w:val="24"/>
        </w:rPr>
        <w:t>维对象</w:t>
      </w:r>
      <w:proofErr w:type="gramEnd"/>
      <w:r>
        <w:rPr>
          <w:rFonts w:ascii="宋体" w:hAnsi="宋体" w:cs="宋体" w:hint="eastAsia"/>
          <w:b/>
          <w:color w:val="000000"/>
          <w:sz w:val="24"/>
        </w:rPr>
        <w:t>及地点</w:t>
      </w:r>
    </w:p>
    <w:p w14:paraId="0265A6A8" w14:textId="77777777" w:rsidR="00CA78BB" w:rsidRDefault="003A0D8F">
      <w:pPr>
        <w:pStyle w:val="a4"/>
        <w:ind w:firstLineChars="200" w:firstLine="480"/>
      </w:pPr>
      <w:r>
        <w:rPr>
          <w:rFonts w:hint="eastAsia"/>
        </w:rPr>
        <w:t>复旦大学附属肿瘤医院</w:t>
      </w:r>
    </w:p>
    <w:p w14:paraId="23BEBD0C" w14:textId="77777777" w:rsidR="00CA78BB" w:rsidRDefault="00CA78BB">
      <w:pPr>
        <w:pStyle w:val="a4"/>
      </w:pPr>
    </w:p>
    <w:p w14:paraId="7FEA8A96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服务周期</w:t>
      </w:r>
    </w:p>
    <w:p w14:paraId="144932BE" w14:textId="77777777" w:rsidR="00CA78BB" w:rsidRDefault="003A0D8F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1年</w:t>
      </w:r>
    </w:p>
    <w:p w14:paraId="56A2352E" w14:textId="77777777" w:rsidR="00CA78BB" w:rsidRDefault="00CA78BB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1" w:name="_Hlk82721833"/>
    </w:p>
    <w:p w14:paraId="6D878746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项目需求</w:t>
      </w:r>
    </w:p>
    <w:p w14:paraId="29AFB509" w14:textId="77777777" w:rsidR="00CA78BB" w:rsidRDefault="00CA78BB">
      <w:pPr>
        <w:pStyle w:val="11"/>
        <w:tabs>
          <w:tab w:val="left" w:pos="8280"/>
        </w:tabs>
        <w:spacing w:line="360" w:lineRule="auto"/>
        <w:ind w:firstLineChars="174" w:firstLine="419"/>
        <w:rPr>
          <w:rFonts w:ascii="宋体" w:hAnsi="宋体" w:cs="宋体"/>
          <w:b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50"/>
        <w:gridCol w:w="4470"/>
        <w:gridCol w:w="1422"/>
        <w:gridCol w:w="1276"/>
      </w:tblGrid>
      <w:tr w:rsidR="00CA78BB" w14:paraId="5FD7E77B" w14:textId="77777777">
        <w:tc>
          <w:tcPr>
            <w:tcW w:w="709" w:type="dxa"/>
          </w:tcPr>
          <w:p w14:paraId="7FE8D98A" w14:textId="77777777" w:rsidR="00CA78BB" w:rsidRDefault="003A0D8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450" w:type="dxa"/>
          </w:tcPr>
          <w:p w14:paraId="67DDCF86" w14:textId="77777777" w:rsidR="00CA78BB" w:rsidRDefault="003A0D8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服务名称</w:t>
            </w:r>
          </w:p>
        </w:tc>
        <w:tc>
          <w:tcPr>
            <w:tcW w:w="4470" w:type="dxa"/>
          </w:tcPr>
          <w:p w14:paraId="3A399448" w14:textId="77777777" w:rsidR="00CA78BB" w:rsidRDefault="003A0D8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服务描述</w:t>
            </w:r>
          </w:p>
        </w:tc>
        <w:tc>
          <w:tcPr>
            <w:tcW w:w="1422" w:type="dxa"/>
          </w:tcPr>
          <w:p w14:paraId="71C03E18" w14:textId="77777777" w:rsidR="00CA78BB" w:rsidRDefault="003A0D8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</w:tcPr>
          <w:p w14:paraId="3E3084A0" w14:textId="77777777" w:rsidR="00CA78BB" w:rsidRDefault="003A0D8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服务期限</w:t>
            </w:r>
          </w:p>
        </w:tc>
      </w:tr>
      <w:tr w:rsidR="00CA78BB" w14:paraId="37B316A8" w14:textId="77777777">
        <w:trPr>
          <w:trHeight w:val="416"/>
        </w:trPr>
        <w:tc>
          <w:tcPr>
            <w:tcW w:w="709" w:type="dxa"/>
          </w:tcPr>
          <w:p w14:paraId="3E3A53CD" w14:textId="77777777" w:rsidR="00CA78BB" w:rsidRDefault="003A0D8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50" w:type="dxa"/>
          </w:tcPr>
          <w:p w14:paraId="24A6C953" w14:textId="77777777" w:rsidR="00CA78BB" w:rsidRDefault="003A0D8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应用创新全面评估服务</w:t>
            </w:r>
          </w:p>
        </w:tc>
        <w:tc>
          <w:tcPr>
            <w:tcW w:w="4470" w:type="dxa"/>
          </w:tcPr>
          <w:p w14:paraId="2151F752" w14:textId="77777777" w:rsidR="00CA78BB" w:rsidRDefault="003A0D8F">
            <w:pPr>
              <w:pStyle w:val="21"/>
              <w:numPr>
                <w:ilvl w:val="0"/>
                <w:numId w:val="2"/>
              </w:numPr>
              <w:spacing w:after="0" w:line="360" w:lineRule="auto"/>
              <w:ind w:leftChars="0" w:firstLineChars="0"/>
              <w:outlineLvl w:val="2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识别台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账</w:t>
            </w:r>
          </w:p>
          <w:p w14:paraId="0CBD8EE3" w14:textId="77777777" w:rsidR="00CA78BB" w:rsidRDefault="003A0D8F" w:rsidP="00810AAC">
            <w:pPr>
              <w:pStyle w:val="21"/>
              <w:spacing w:after="0"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依据资产梳理情况，对在用信息设备工作底账进行摸排与梳理，识别当前在用的电脑终端、应用系统、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安全运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管控类设备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等</w:t>
            </w:r>
          </w:p>
          <w:p w14:paraId="135D7DF9" w14:textId="77777777" w:rsidR="00CA78BB" w:rsidRDefault="003A0D8F">
            <w:pPr>
              <w:pStyle w:val="21"/>
              <w:numPr>
                <w:ilvl w:val="0"/>
                <w:numId w:val="2"/>
              </w:numPr>
              <w:spacing w:after="0" w:line="360" w:lineRule="auto"/>
              <w:ind w:leftChars="0" w:firstLineChars="0"/>
              <w:outlineLvl w:val="2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分析现状</w:t>
            </w:r>
          </w:p>
          <w:p w14:paraId="5098230C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对院内信息系统网络架构、安全防护措施、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安全运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维管控措施进行现状分析。</w:t>
            </w:r>
          </w:p>
          <w:p w14:paraId="7A6AE981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对在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用应用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系统的操作系统、数据库、中间件、开发厂商等进行梳理与现状分析。</w:t>
            </w:r>
          </w:p>
          <w:p w14:paraId="7E2B7B62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lastRenderedPageBreak/>
              <w:t>对院内在用电脑终端的类型、应用场景、操作系统、常用办公软件进行梳理与现状分析。</w:t>
            </w:r>
          </w:p>
          <w:p w14:paraId="51D85386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识别应用系统类型</w:t>
            </w:r>
          </w:p>
          <w:p w14:paraId="39CE5D43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从服务对象、业务逻辑、数据存储情况、系统架构及部署情况等方面，确定应用系统的类型。</w:t>
            </w:r>
          </w:p>
          <w:p w14:paraId="13CA9B34" w14:textId="77777777" w:rsidR="00CA78BB" w:rsidRDefault="003A0D8F">
            <w:pPr>
              <w:pStyle w:val="21"/>
              <w:numPr>
                <w:ilvl w:val="0"/>
                <w:numId w:val="2"/>
              </w:numPr>
              <w:spacing w:after="0" w:line="360" w:lineRule="auto"/>
              <w:ind w:leftChars="0" w:firstLineChars="0"/>
              <w:outlineLvl w:val="2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评估信创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工作计划</w:t>
            </w:r>
          </w:p>
          <w:p w14:paraId="2A7A1AFA" w14:textId="77777777" w:rsidR="00CA78BB" w:rsidRDefault="003A0D8F" w:rsidP="00810AAC">
            <w:pPr>
              <w:pStyle w:val="21"/>
              <w:spacing w:after="0"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依据应用系统的类型，从应用系统基础架构、业务需求、数据类型、业务逻辑等方面评估每个应用系统的可改造情况。</w:t>
            </w:r>
          </w:p>
          <w:p w14:paraId="07FFBD1E" w14:textId="77777777" w:rsidR="00CA78BB" w:rsidRDefault="003A0D8F" w:rsidP="00810AAC">
            <w:pPr>
              <w:pStyle w:val="21"/>
              <w:spacing w:after="0"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针对可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参与信创改造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的应用系统，形成应用创新工作计划。</w:t>
            </w:r>
          </w:p>
          <w:p w14:paraId="14F27160" w14:textId="77777777" w:rsidR="00CA78BB" w:rsidRDefault="003A0D8F" w:rsidP="00810AAC">
            <w:pPr>
              <w:pStyle w:val="21"/>
              <w:spacing w:after="0"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针对不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参与信创改造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的应用系统，形成密码改造、数据分类分级的工作规划。</w:t>
            </w:r>
          </w:p>
          <w:p w14:paraId="5A381378" w14:textId="77777777" w:rsidR="00CA78BB" w:rsidRDefault="003A0D8F">
            <w:pPr>
              <w:pStyle w:val="21"/>
              <w:numPr>
                <w:ilvl w:val="0"/>
                <w:numId w:val="2"/>
              </w:numPr>
              <w:spacing w:after="0" w:line="360" w:lineRule="auto"/>
              <w:ind w:leftChars="0" w:firstLineChars="0"/>
              <w:outlineLvl w:val="2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编制应用创新工作计划方案</w:t>
            </w:r>
          </w:p>
          <w:p w14:paraId="2D5F91FE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依据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信创改造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工作安排、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信创工作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计划，编制应用创新工作计划方案。</w:t>
            </w:r>
          </w:p>
          <w:p w14:paraId="20BC3292" w14:textId="77777777" w:rsidR="00CA78BB" w:rsidRDefault="003A0D8F">
            <w:pPr>
              <w:pStyle w:val="21"/>
              <w:numPr>
                <w:ilvl w:val="0"/>
                <w:numId w:val="2"/>
              </w:numPr>
              <w:spacing w:after="0" w:line="360" w:lineRule="auto"/>
              <w:ind w:leftChars="0" w:firstLineChars="0"/>
              <w:outlineLvl w:val="2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协助开展专家评审</w:t>
            </w:r>
          </w:p>
          <w:p w14:paraId="688CBB75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配合完成市级领导小组对应用创新工作计划方案的审核，并根据领导小组审核意见修订应用创新工作计划方案，直至市级领导小组审核通过。</w:t>
            </w:r>
          </w:p>
          <w:p w14:paraId="0FFEE7EC" w14:textId="77777777" w:rsidR="00CA78BB" w:rsidRDefault="003A0D8F">
            <w:pPr>
              <w:pStyle w:val="21"/>
              <w:numPr>
                <w:ilvl w:val="0"/>
                <w:numId w:val="2"/>
              </w:numPr>
              <w:spacing w:after="0" w:line="360" w:lineRule="auto"/>
              <w:ind w:leftChars="0" w:firstLineChars="0"/>
              <w:outlineLvl w:val="2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非信创技术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论证</w:t>
            </w:r>
          </w:p>
          <w:p w14:paraId="07A475F3" w14:textId="77777777" w:rsidR="00CA78BB" w:rsidRDefault="003A0D8F" w:rsidP="00810AAC">
            <w:pPr>
              <w:pStyle w:val="21"/>
              <w:spacing w:after="0"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针对评估后仍需采用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非信创技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lastRenderedPageBreak/>
              <w:t>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的，配合完成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非信创技术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的论证，并协助申报卫健委。</w:t>
            </w:r>
          </w:p>
        </w:tc>
        <w:tc>
          <w:tcPr>
            <w:tcW w:w="1422" w:type="dxa"/>
            <w:vAlign w:val="center"/>
          </w:tcPr>
          <w:p w14:paraId="4B5E986D" w14:textId="77777777" w:rsidR="00CA78BB" w:rsidRDefault="003A0D8F">
            <w:pPr>
              <w:spacing w:line="48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1次</w:t>
            </w:r>
          </w:p>
        </w:tc>
        <w:tc>
          <w:tcPr>
            <w:tcW w:w="1276" w:type="dxa"/>
            <w:vAlign w:val="center"/>
          </w:tcPr>
          <w:p w14:paraId="7CFAAE8A" w14:textId="77777777" w:rsidR="00CA78BB" w:rsidRDefault="003A0D8F">
            <w:pPr>
              <w:spacing w:line="48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1年</w:t>
            </w:r>
          </w:p>
        </w:tc>
      </w:tr>
    </w:tbl>
    <w:p w14:paraId="23D745B7" w14:textId="77777777" w:rsidR="00CA78BB" w:rsidRDefault="00CA78BB">
      <w:pPr>
        <w:pStyle w:val="11"/>
        <w:tabs>
          <w:tab w:val="left" w:pos="8280"/>
        </w:tabs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</w:p>
    <w:p w14:paraId="2958FD80" w14:textId="77777777" w:rsidR="00CA78BB" w:rsidRDefault="003A0D8F">
      <w:pPr>
        <w:pStyle w:val="11"/>
        <w:tabs>
          <w:tab w:val="left" w:pos="8280"/>
        </w:tabs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交付物：</w:t>
      </w:r>
    </w:p>
    <w:p w14:paraId="0307EB5F" w14:textId="77777777" w:rsidR="00CA78BB" w:rsidRDefault="003A0D8F">
      <w:pPr>
        <w:pStyle w:val="11"/>
        <w:tabs>
          <w:tab w:val="left" w:pos="8280"/>
        </w:tabs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sz w:val="24"/>
          <w:szCs w:val="24"/>
        </w:rPr>
        <w:t>应用创新全面评估方案</w:t>
      </w:r>
    </w:p>
    <w:bookmarkEnd w:id="1"/>
    <w:p w14:paraId="5273FC17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其他要求</w:t>
      </w:r>
    </w:p>
    <w:p w14:paraId="33ED49A9" w14:textId="77777777" w:rsidR="00CA78BB" w:rsidRDefault="003A0D8F">
      <w:pPr>
        <w:pStyle w:val="11"/>
        <w:spacing w:line="360" w:lineRule="auto"/>
        <w:ind w:firstLineChars="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投标人必须向招标人对有关服务内容做出承诺，并遵循保密原则。</w:t>
      </w:r>
    </w:p>
    <w:p w14:paraId="0F486774" w14:textId="77777777" w:rsidR="00CA78BB" w:rsidRDefault="003A0D8F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投标人应保证提供服务时，如有侵犯其他单位专利权、商标权或工业设计权</w:t>
      </w:r>
      <w:proofErr w:type="gramStart"/>
      <w:r>
        <w:rPr>
          <w:rFonts w:ascii="宋体" w:hAnsi="宋体" w:cs="宋体" w:hint="eastAsia"/>
          <w:color w:val="000000"/>
          <w:sz w:val="24"/>
        </w:rPr>
        <w:t>及其它民事权</w:t>
      </w:r>
      <w:proofErr w:type="gramEnd"/>
      <w:r>
        <w:rPr>
          <w:rFonts w:ascii="宋体" w:hAnsi="宋体" w:cs="宋体" w:hint="eastAsia"/>
          <w:color w:val="000000"/>
          <w:sz w:val="24"/>
        </w:rPr>
        <w:t>的，由投标人承担全部责任。</w:t>
      </w:r>
    </w:p>
    <w:p w14:paraId="75638A07" w14:textId="05CA5506" w:rsidR="00810AAC" w:rsidRDefault="00810AAC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投标人具有CCRC信息安全风险评估</w:t>
      </w:r>
      <w:r w:rsidR="003A0D8F">
        <w:rPr>
          <w:rFonts w:ascii="宋体" w:hAnsi="宋体" w:cs="宋体" w:hint="eastAsia"/>
          <w:color w:val="000000"/>
          <w:sz w:val="24"/>
        </w:rPr>
        <w:t>服务</w:t>
      </w:r>
      <w:r>
        <w:rPr>
          <w:rFonts w:ascii="宋体" w:hAnsi="宋体" w:cs="宋体" w:hint="eastAsia"/>
          <w:color w:val="000000"/>
          <w:sz w:val="24"/>
        </w:rPr>
        <w:t>资质</w:t>
      </w:r>
      <w:r w:rsidR="006B23B7">
        <w:rPr>
          <w:rFonts w:ascii="宋体" w:hAnsi="宋体" w:cs="宋体" w:hint="eastAsia"/>
          <w:color w:val="000000"/>
          <w:sz w:val="24"/>
        </w:rPr>
        <w:t>。</w:t>
      </w:r>
    </w:p>
    <w:p w14:paraId="68AEFC57" w14:textId="77777777" w:rsidR="00CA78BB" w:rsidRDefault="00CA78BB">
      <w:pPr>
        <w:rPr>
          <w:rFonts w:ascii="宋体" w:hAnsi="宋体" w:cs="宋体"/>
        </w:rPr>
      </w:pPr>
    </w:p>
    <w:p w14:paraId="286EDBDE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实施要求</w:t>
      </w:r>
    </w:p>
    <w:p w14:paraId="69FBD481" w14:textId="77777777" w:rsidR="00CA78BB" w:rsidRDefault="003A0D8F">
      <w:pPr>
        <w:tabs>
          <w:tab w:val="left" w:pos="845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1．项目实施要求</w:t>
      </w:r>
    </w:p>
    <w:p w14:paraId="49708939" w14:textId="77777777" w:rsidR="00CA78BB" w:rsidRDefault="003A0D8F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投标人有固定的售后服务团队。</w:t>
      </w:r>
    </w:p>
    <w:p w14:paraId="6C454A31" w14:textId="77777777" w:rsidR="00CA78BB" w:rsidRDefault="003A0D8F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投标人针对本项目的人员配置，需要提供有关人员学历、从业经验、相关资质证书等证明文件。</w:t>
      </w:r>
    </w:p>
    <w:p w14:paraId="62728942" w14:textId="77777777" w:rsidR="00CA78BB" w:rsidRDefault="003A0D8F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投标人应本着认真负责态度，组织技术队伍，认真做好项目的实施工作。在签订合同前，提出具体实施、服务的措施计划和承诺。</w:t>
      </w:r>
    </w:p>
    <w:p w14:paraId="7EB28E21" w14:textId="77777777" w:rsidR="00CA78BB" w:rsidRDefault="003A0D8F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投标人必须提供项目实施计划，经招标人同意后，严格执行。如果遇到问题，由项目组提出项目变更说明，经医院和投标人确定后，修改计划。</w:t>
      </w:r>
    </w:p>
    <w:p w14:paraId="49579AE8" w14:textId="77777777" w:rsidR="00CA78BB" w:rsidRDefault="003A0D8F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投标人应负责在项目验收时将项目的全部有关技术文件、资料、及安装、测试、验收报告等文档汇集成册交付招标人。</w:t>
      </w:r>
    </w:p>
    <w:p w14:paraId="0AE0BF74" w14:textId="77777777" w:rsidR="00CA78BB" w:rsidRDefault="003A0D8F">
      <w:pPr>
        <w:tabs>
          <w:tab w:val="left" w:pos="845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2.对实施人员的要求</w:t>
      </w:r>
    </w:p>
    <w:p w14:paraId="40581F6D" w14:textId="77777777" w:rsidR="00CA78BB" w:rsidRDefault="003A0D8F">
      <w:pPr>
        <w:pStyle w:val="a3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项目在通过验收前必须现场留驻足够的实施人员。</w:t>
      </w:r>
    </w:p>
    <w:p w14:paraId="041FD3CA" w14:textId="77777777" w:rsidR="00CA78BB" w:rsidRDefault="003A0D8F">
      <w:pPr>
        <w:pStyle w:val="a3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医院有权根据实施情况要求更换项目经理和实施人员。</w:t>
      </w:r>
    </w:p>
    <w:p w14:paraId="7CD38635" w14:textId="77777777" w:rsidR="00CA78BB" w:rsidRDefault="003A0D8F">
      <w:pPr>
        <w:spacing w:line="360" w:lineRule="auto"/>
        <w:ind w:firstLineChars="200" w:firstLine="480"/>
        <w:textAlignment w:val="baseline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对投标人项目经理等级和实施人员基本要求：要求投标人针对本项目成立项目小组，在响应文件中提供书面名单，人员一旦得到医院确认，无特殊理由不得随意变动，且项目经理未得到医院同意的情况下不得随意更换。</w:t>
      </w:r>
    </w:p>
    <w:p w14:paraId="6C1D4174" w14:textId="77777777" w:rsidR="00CA78BB" w:rsidRDefault="003A0D8F">
      <w:pPr>
        <w:tabs>
          <w:tab w:val="left" w:pos="845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3.项目实施进度要求</w:t>
      </w:r>
    </w:p>
    <w:p w14:paraId="0D9ADCCA" w14:textId="77777777" w:rsidR="00CA78BB" w:rsidRDefault="003A0D8F">
      <w:pPr>
        <w:tabs>
          <w:tab w:val="left" w:pos="84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自合同签订之日起1年。投标人需制定详细项目实施进度计划。</w:t>
      </w:r>
    </w:p>
    <w:p w14:paraId="161F4EED" w14:textId="77777777" w:rsidR="00CA78BB" w:rsidRDefault="00CA78B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p w14:paraId="3A73C10D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验收和结案要求</w:t>
      </w:r>
    </w:p>
    <w:p w14:paraId="7644FC53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验收</w:t>
      </w:r>
    </w:p>
    <w:p w14:paraId="62B1ACAD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按照上述交付时间，由招标人组织或聘请专家团队进行成果验收，验收完成通过后可开具纸质说明告知提供方验收结果。</w:t>
      </w:r>
    </w:p>
    <w:p w14:paraId="7BC10ACB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2.项目结案要求</w:t>
      </w:r>
    </w:p>
    <w:p w14:paraId="2D9DAD0E" w14:textId="77777777" w:rsidR="00CA78BB" w:rsidRDefault="003A0D8F">
      <w:pPr>
        <w:spacing w:line="360" w:lineRule="auto"/>
        <w:ind w:firstLine="49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项目结束后投标人须向招标人提供台账、项目总结报告等相关数据资料，并接受招标人的终期评估。</w:t>
      </w:r>
    </w:p>
    <w:p w14:paraId="7501A3B8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售后服务</w:t>
      </w:r>
    </w:p>
    <w:p w14:paraId="15755E9C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1．提供7×24小时电话热线服务，通过热线电话向招标人提供技术支持及远程支持。</w:t>
      </w:r>
    </w:p>
    <w:p w14:paraId="55908E8B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2．提供与服务有关的使用及其它相关技术资料。</w:t>
      </w:r>
    </w:p>
    <w:p w14:paraId="42DE7975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在项目实施过程中及售后服务期内，项目投标人须承诺指定专人负责与招标人保持长期的联系与服务。 保证2小时内响应，4小时内到现场。</w:t>
      </w:r>
    </w:p>
    <w:p w14:paraId="0624F244" w14:textId="77777777" w:rsidR="00CA78BB" w:rsidRDefault="003A0D8F">
      <w:pPr>
        <w:tabs>
          <w:tab w:val="left" w:pos="60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 培训服务：投标人应当根据项目实施计划、进度和项目实际运行的需要，及时培训采购方技术人员,提供具体的培训内容、培训时间、和培训方案。</w:t>
      </w:r>
    </w:p>
    <w:p w14:paraId="226E0561" w14:textId="77777777" w:rsidR="00CA78BB" w:rsidRDefault="00CA78B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p w14:paraId="4EFBA456" w14:textId="77777777" w:rsidR="00CA78BB" w:rsidRDefault="003A0D8F">
      <w:pPr>
        <w:pStyle w:val="af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对系统的保密范围要求</w:t>
      </w:r>
    </w:p>
    <w:p w14:paraId="26796005" w14:textId="77777777" w:rsidR="00CA78BB" w:rsidRDefault="003A0D8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承诺在实施和维护过程中，任何涉及医院的信息，包括但不限于医院数据、医院特有的功能需求等，未得到医院同意的情况下不得对任何第三方展示、举例乃至销售，否则投标人将承担由此产生的一切后果。</w:t>
      </w:r>
    </w:p>
    <w:p w14:paraId="4D9347CD" w14:textId="77777777" w:rsidR="00CA78BB" w:rsidRDefault="00CA78BB">
      <w:pPr>
        <w:widowControl/>
        <w:jc w:val="left"/>
      </w:pPr>
    </w:p>
    <w:sectPr w:rsidR="00CA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7D329A"/>
    <w:multiLevelType w:val="singleLevel"/>
    <w:tmpl w:val="EB7D329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6416F3B"/>
    <w:multiLevelType w:val="multilevel"/>
    <w:tmpl w:val="46416F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BC"/>
    <w:rsid w:val="00121043"/>
    <w:rsid w:val="002D558C"/>
    <w:rsid w:val="00301213"/>
    <w:rsid w:val="00376653"/>
    <w:rsid w:val="003A0D8F"/>
    <w:rsid w:val="003D09DB"/>
    <w:rsid w:val="005B3093"/>
    <w:rsid w:val="006B23B7"/>
    <w:rsid w:val="00753665"/>
    <w:rsid w:val="007C79E9"/>
    <w:rsid w:val="00810AAC"/>
    <w:rsid w:val="009B73BC"/>
    <w:rsid w:val="00A30B47"/>
    <w:rsid w:val="00AB71C6"/>
    <w:rsid w:val="00C919DF"/>
    <w:rsid w:val="00CA58B6"/>
    <w:rsid w:val="00CA78BB"/>
    <w:rsid w:val="00CC295B"/>
    <w:rsid w:val="00E3756F"/>
    <w:rsid w:val="00E503C4"/>
    <w:rsid w:val="00F34B64"/>
    <w:rsid w:val="530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C25C9-6C96-42F3-9754-0A938E8A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tabs>
        <w:tab w:val="left" w:pos="720"/>
      </w:tabs>
      <w:adjustRightInd w:val="0"/>
      <w:spacing w:before="60" w:after="60" w:line="360" w:lineRule="auto"/>
      <w:textAlignment w:val="baseline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</w:style>
  <w:style w:type="paragraph" w:styleId="a4">
    <w:name w:val="toa heading"/>
    <w:basedOn w:val="a"/>
    <w:next w:val="a"/>
    <w:uiPriority w:val="99"/>
    <w:semiHidden/>
    <w:unhideWhenUsed/>
    <w:qFormat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5">
    <w:name w:val="Body Text Indent"/>
    <w:basedOn w:val="a"/>
    <w:link w:val="a6"/>
    <w:unhideWhenUsed/>
    <w:qFormat/>
    <w:pPr>
      <w:spacing w:after="120"/>
      <w:ind w:leftChars="200" w:left="420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5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40">
    <w:name w:val="标题 4 字符"/>
    <w:basedOn w:val="a0"/>
    <w:link w:val="4"/>
    <w:uiPriority w:val="99"/>
    <w:qFormat/>
    <w:rPr>
      <w:rFonts w:ascii="Cambria" w:eastAsia="宋体" w:hAnsi="Cambria" w:cs="Cambria"/>
      <w:b/>
      <w:bCs/>
      <w:kern w:val="0"/>
      <w:sz w:val="28"/>
      <w:szCs w:val="28"/>
    </w:rPr>
  </w:style>
  <w:style w:type="paragraph" w:customStyle="1" w:styleId="ad">
    <w:name w:val="表格"/>
    <w:link w:val="ae"/>
    <w:qFormat/>
    <w:pPr>
      <w:spacing w:line="360" w:lineRule="auto"/>
    </w:pPr>
    <w:rPr>
      <w:rFonts w:ascii="宋体" w:eastAsia="宋体"/>
      <w:kern w:val="2"/>
      <w:sz w:val="21"/>
      <w:szCs w:val="22"/>
    </w:rPr>
  </w:style>
  <w:style w:type="character" w:customStyle="1" w:styleId="ae">
    <w:name w:val="表格 字符"/>
    <w:basedOn w:val="a0"/>
    <w:link w:val="ad"/>
    <w:qFormat/>
    <w:rPr>
      <w:rFonts w:ascii="宋体" w:eastAsia="宋体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6">
    <w:name w:val="正文文本缩进 字符"/>
    <w:link w:val="a5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李渊</cp:lastModifiedBy>
  <cp:revision>16</cp:revision>
  <dcterms:created xsi:type="dcterms:W3CDTF">2023-10-30T03:51:00Z</dcterms:created>
  <dcterms:modified xsi:type="dcterms:W3CDTF">2025-02-25T07:14:00Z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eyJoZGlkIjoiMzQ2YTU4M2JiMDM3ZjkwNDdmMDNiY2Q1NTZiN2UzOWMiLCJ1c2VySWQiOiIxMTcyMTQ1MTcwIn0=</vt:lpwstr>
  </property>
  <property fmtid="{D5CDD505-2E9C-101B-9397-08002B2CF9AE}" pid="3" name="KSOProductBuildVer">
    <vt:lpwstr>2052-12.1.0.19770</vt:lpwstr>
  </property>
  <property fmtid="{D5CDD505-2E9C-101B-9397-08002B2CF9AE}" pid="4" name="ICV">
    <vt:lpwstr>A07CF24AB2564794A2AEA5F6DF6D1104_13</vt:lpwstr>
  </property>
</Properties>
</file>