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41C4B" w14:textId="1C478B13" w:rsidR="00833160" w:rsidRDefault="00502488">
      <w:pPr>
        <w:rPr>
          <w:rFonts w:ascii="宋体" w:eastAsia="宋体" w:hAnsi="宋体" w:cs="Times New Roman"/>
          <w:b/>
          <w:sz w:val="24"/>
          <w:szCs w:val="24"/>
          <w14:ligatures w14:val="none"/>
        </w:rPr>
      </w:pPr>
      <w:proofErr w:type="gramStart"/>
      <w:r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服务或</w:t>
      </w:r>
      <w:r>
        <w:rPr>
          <w:rFonts w:ascii="宋体" w:eastAsia="宋体" w:hAnsi="宋体" w:cs="Times New Roman"/>
          <w:b/>
          <w:sz w:val="24"/>
          <w:szCs w:val="24"/>
          <w14:ligatures w14:val="none"/>
        </w:rPr>
        <w:t>运维</w:t>
      </w:r>
      <w:proofErr w:type="gramEnd"/>
      <w:r>
        <w:rPr>
          <w:rFonts w:ascii="宋体" w:eastAsia="宋体" w:hAnsi="宋体" w:cs="Times New Roman" w:hint="eastAsia"/>
          <w:b/>
          <w:sz w:val="24"/>
          <w:szCs w:val="24"/>
          <w14:ligatures w14:val="none"/>
        </w:rPr>
        <w:t>的</w:t>
      </w:r>
      <w:r>
        <w:rPr>
          <w:rFonts w:ascii="宋体" w:eastAsia="宋体" w:hAnsi="宋体" w:cs="Times New Roman"/>
          <w:b/>
          <w:sz w:val="24"/>
          <w:szCs w:val="24"/>
          <w14:ligatures w14:val="none"/>
        </w:rPr>
        <w:t>需求参数模版</w:t>
      </w:r>
      <w:bookmarkStart w:id="0" w:name="_GoBack"/>
      <w:bookmarkEnd w:id="0"/>
    </w:p>
    <w:p w14:paraId="724E4508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1.</w:t>
      </w:r>
      <w:r>
        <w:rPr>
          <w:rFonts w:ascii="宋体" w:eastAsia="宋体" w:hAnsi="宋体" w:cs="Times New Roman"/>
          <w:sz w:val="24"/>
          <w:szCs w:val="24"/>
          <w14:ligatures w14:val="none"/>
        </w:rPr>
        <w:t xml:space="preserve"> </w:t>
      </w:r>
      <w:r>
        <w:rPr>
          <w:rFonts w:ascii="宋体" w:eastAsia="宋体" w:hAnsi="宋体" w:cs="Times New Roman"/>
          <w:sz w:val="24"/>
          <w:szCs w:val="24"/>
          <w14:ligatures w14:val="none"/>
        </w:rPr>
        <w:t>项目名称及总体要求</w:t>
      </w:r>
    </w:p>
    <w:p w14:paraId="372D1EDB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建设内容：</w:t>
      </w:r>
      <w:r>
        <w:rPr>
          <w:rFonts w:ascii="宋体" w:eastAsia="宋体" w:hAnsi="宋体" w:cs="Times New Roman"/>
          <w:sz w:val="24"/>
          <w:szCs w:val="24"/>
          <w14:ligatures w14:val="none"/>
        </w:rPr>
        <w:t>202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5</w:t>
      </w:r>
      <w:r>
        <w:rPr>
          <w:rFonts w:ascii="宋体" w:eastAsia="宋体" w:hAnsi="宋体" w:cs="Times New Roman"/>
          <w:sz w:val="24"/>
          <w:szCs w:val="24"/>
          <w14:ligatures w14:val="none"/>
        </w:rPr>
        <w:t>年度信息监理服务</w:t>
      </w:r>
    </w:p>
    <w:p w14:paraId="261E2667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3FBB314D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2.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服务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/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运</w:t>
      </w:r>
      <w:proofErr w:type="gramStart"/>
      <w:r>
        <w:rPr>
          <w:rFonts w:ascii="宋体" w:eastAsia="宋体" w:hAnsi="宋体" w:cs="Times New Roman" w:hint="eastAsia"/>
          <w:sz w:val="24"/>
          <w:szCs w:val="24"/>
          <w14:ligatures w14:val="none"/>
        </w:rPr>
        <w:t>维对象</w:t>
      </w:r>
      <w:proofErr w:type="gramEnd"/>
      <w:r>
        <w:rPr>
          <w:rFonts w:ascii="宋体" w:eastAsia="宋体" w:hAnsi="宋体" w:cs="Times New Roman" w:hint="eastAsia"/>
          <w:sz w:val="24"/>
          <w:szCs w:val="24"/>
          <w14:ligatures w14:val="none"/>
        </w:rPr>
        <w:t>及地点</w:t>
      </w:r>
    </w:p>
    <w:p w14:paraId="7BB37877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服务内容：</w:t>
      </w:r>
      <w:r>
        <w:rPr>
          <w:rFonts w:ascii="宋体" w:eastAsia="宋体" w:hAnsi="宋体" w:cs="Times New Roman"/>
          <w:sz w:val="24"/>
          <w:szCs w:val="24"/>
          <w14:ligatures w14:val="none"/>
        </w:rPr>
        <w:t>202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5</w:t>
      </w:r>
      <w:r>
        <w:rPr>
          <w:rFonts w:ascii="宋体" w:eastAsia="宋体" w:hAnsi="宋体" w:cs="Times New Roman"/>
          <w:sz w:val="24"/>
          <w:szCs w:val="24"/>
          <w14:ligatures w14:val="none"/>
        </w:rPr>
        <w:t>年度信息监理服务</w:t>
      </w:r>
    </w:p>
    <w:p w14:paraId="0CADF6E4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建设地址：上海市</w:t>
      </w:r>
    </w:p>
    <w:p w14:paraId="2E1FE7B7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23176A36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0B5F384F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3.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周期：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xx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月，起止日期</w:t>
      </w:r>
    </w:p>
    <w:p w14:paraId="41315A06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监理周期：合同签订至项目竣工</w:t>
      </w:r>
    </w:p>
    <w:p w14:paraId="01A0B832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29DA9275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5EFFE04D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4.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服务及维护清单</w:t>
      </w:r>
    </w:p>
    <w:p w14:paraId="77EE8E2C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tbl>
      <w:tblPr>
        <w:tblStyle w:val="a5"/>
        <w:tblW w:w="9497" w:type="dxa"/>
        <w:tblLook w:val="04A0" w:firstRow="1" w:lastRow="0" w:firstColumn="1" w:lastColumn="0" w:noHBand="0" w:noVBand="1"/>
      </w:tblPr>
      <w:tblGrid>
        <w:gridCol w:w="846"/>
        <w:gridCol w:w="1276"/>
        <w:gridCol w:w="6378"/>
        <w:gridCol w:w="997"/>
      </w:tblGrid>
      <w:tr w:rsidR="00833160" w14:paraId="6C366414" w14:textId="77777777">
        <w:trPr>
          <w:trHeight w:val="312"/>
        </w:trPr>
        <w:tc>
          <w:tcPr>
            <w:tcW w:w="846" w:type="dxa"/>
            <w:vMerge w:val="restart"/>
            <w:vAlign w:val="center"/>
          </w:tcPr>
          <w:p w14:paraId="458DE240" w14:textId="77777777" w:rsidR="00833160" w:rsidRDefault="00502488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14:paraId="6F2D9A4C" w14:textId="77777777" w:rsidR="00833160" w:rsidRDefault="00502488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需求指标</w:t>
            </w:r>
          </w:p>
        </w:tc>
        <w:tc>
          <w:tcPr>
            <w:tcW w:w="6378" w:type="dxa"/>
            <w:vMerge w:val="restart"/>
            <w:vAlign w:val="center"/>
          </w:tcPr>
          <w:p w14:paraId="438548C6" w14:textId="77777777" w:rsidR="00833160" w:rsidRDefault="00502488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参数范围</w:t>
            </w:r>
          </w:p>
        </w:tc>
        <w:tc>
          <w:tcPr>
            <w:tcW w:w="997" w:type="dxa"/>
            <w:vMerge w:val="restart"/>
            <w:vAlign w:val="center"/>
          </w:tcPr>
          <w:p w14:paraId="6B45B4CF" w14:textId="77777777" w:rsidR="00833160" w:rsidRDefault="00502488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指标重要性</w:t>
            </w:r>
          </w:p>
        </w:tc>
      </w:tr>
      <w:tr w:rsidR="00833160" w14:paraId="295B5919" w14:textId="77777777">
        <w:trPr>
          <w:trHeight w:val="312"/>
        </w:trPr>
        <w:tc>
          <w:tcPr>
            <w:tcW w:w="846" w:type="dxa"/>
            <w:vMerge/>
            <w:vAlign w:val="center"/>
          </w:tcPr>
          <w:p w14:paraId="7DAA4F45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  <w:tc>
          <w:tcPr>
            <w:tcW w:w="1276" w:type="dxa"/>
            <w:vMerge/>
          </w:tcPr>
          <w:p w14:paraId="09AFFB96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  <w:tc>
          <w:tcPr>
            <w:tcW w:w="6378" w:type="dxa"/>
            <w:vMerge/>
          </w:tcPr>
          <w:p w14:paraId="3F536429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  <w:tc>
          <w:tcPr>
            <w:tcW w:w="997" w:type="dxa"/>
            <w:vMerge/>
          </w:tcPr>
          <w:p w14:paraId="7D365B59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</w:tr>
      <w:tr w:rsidR="00833160" w14:paraId="25F905E3" w14:textId="77777777">
        <w:trPr>
          <w:trHeight w:val="312"/>
        </w:trPr>
        <w:tc>
          <w:tcPr>
            <w:tcW w:w="846" w:type="dxa"/>
            <w:vMerge/>
            <w:vAlign w:val="center"/>
          </w:tcPr>
          <w:p w14:paraId="3075DFFC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  <w:tc>
          <w:tcPr>
            <w:tcW w:w="1276" w:type="dxa"/>
            <w:vMerge/>
          </w:tcPr>
          <w:p w14:paraId="351EA076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  <w:tc>
          <w:tcPr>
            <w:tcW w:w="6378" w:type="dxa"/>
            <w:vMerge/>
          </w:tcPr>
          <w:p w14:paraId="72FEA781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  <w:tc>
          <w:tcPr>
            <w:tcW w:w="997" w:type="dxa"/>
            <w:vMerge/>
          </w:tcPr>
          <w:p w14:paraId="2E6CFB7F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</w:tr>
      <w:tr w:rsidR="00833160" w14:paraId="16359660" w14:textId="77777777">
        <w:trPr>
          <w:trHeight w:val="295"/>
        </w:trPr>
        <w:tc>
          <w:tcPr>
            <w:tcW w:w="846" w:type="dxa"/>
            <w:vMerge w:val="restart"/>
            <w:vAlign w:val="center"/>
          </w:tcPr>
          <w:p w14:paraId="5D63ABA2" w14:textId="77777777" w:rsidR="00833160" w:rsidRDefault="00502488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技术参数</w:t>
            </w:r>
          </w:p>
        </w:tc>
        <w:tc>
          <w:tcPr>
            <w:tcW w:w="1276" w:type="dxa"/>
          </w:tcPr>
          <w:p w14:paraId="53BC3B58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监理工作范围</w:t>
            </w:r>
          </w:p>
        </w:tc>
        <w:tc>
          <w:tcPr>
            <w:tcW w:w="6378" w:type="dxa"/>
          </w:tcPr>
          <w:p w14:paraId="773D8278" w14:textId="77777777" w:rsidR="00833160" w:rsidRDefault="00502488">
            <w:pPr>
              <w:ind w:rightChars="-52" w:right="-109"/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在项目建设过程中，提供的质量控制、进度控制、成本控制、变更控制、安全管理、合同管理、文档管理和项目协调等全过程、全方位的监理服务。</w:t>
            </w:r>
          </w:p>
        </w:tc>
        <w:tc>
          <w:tcPr>
            <w:tcW w:w="997" w:type="dxa"/>
          </w:tcPr>
          <w:p w14:paraId="0DC33E31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★</w:t>
            </w:r>
          </w:p>
        </w:tc>
      </w:tr>
      <w:tr w:rsidR="00833160" w14:paraId="440F5D60" w14:textId="77777777">
        <w:trPr>
          <w:trHeight w:val="293"/>
        </w:trPr>
        <w:tc>
          <w:tcPr>
            <w:tcW w:w="846" w:type="dxa"/>
            <w:vMerge/>
            <w:vAlign w:val="center"/>
          </w:tcPr>
          <w:p w14:paraId="20D699AC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  <w:tc>
          <w:tcPr>
            <w:tcW w:w="1276" w:type="dxa"/>
          </w:tcPr>
          <w:p w14:paraId="63D2292F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监理机构和人员要求</w:t>
            </w:r>
          </w:p>
        </w:tc>
        <w:tc>
          <w:tcPr>
            <w:tcW w:w="6378" w:type="dxa"/>
          </w:tcPr>
          <w:p w14:paraId="1082D7C7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本项目监理机构需专业配套齐全，年龄结构合理，监理组人员为投标单位的在职监理工程师不少于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5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人。各专业监理工程师应具有相应的信息系统工程监理工作经历，包括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总监理工程师、软件监理工程师、信息安全监理工程师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等。所有在职监理工程师需稳定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,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需要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正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投标单位的</w:t>
            </w:r>
            <w:proofErr w:type="gramStart"/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社保证明</w:t>
            </w:r>
            <w:proofErr w:type="gramEnd"/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；监理机构人员中如具有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系统分析师证书、高级软件工程师证书、高级软件测试工程师证书、高级数据库管理工程师证书、信息安全师（高级）证书、信息安全管理工程师证书、全过程工程项目管理师证书、全过程工程咨询项目经理证书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等优先考虑。</w:t>
            </w:r>
          </w:p>
        </w:tc>
        <w:tc>
          <w:tcPr>
            <w:tcW w:w="997" w:type="dxa"/>
          </w:tcPr>
          <w:p w14:paraId="069CAFC2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☆</w:t>
            </w:r>
          </w:p>
        </w:tc>
      </w:tr>
      <w:tr w:rsidR="00833160" w14:paraId="3E4DEA60" w14:textId="77777777">
        <w:trPr>
          <w:trHeight w:val="293"/>
        </w:trPr>
        <w:tc>
          <w:tcPr>
            <w:tcW w:w="846" w:type="dxa"/>
            <w:vMerge/>
            <w:vAlign w:val="center"/>
          </w:tcPr>
          <w:p w14:paraId="1C7DF2AF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  <w:tc>
          <w:tcPr>
            <w:tcW w:w="1276" w:type="dxa"/>
          </w:tcPr>
          <w:p w14:paraId="26D3F001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总监理工程师要求</w:t>
            </w:r>
          </w:p>
        </w:tc>
        <w:tc>
          <w:tcPr>
            <w:tcW w:w="6378" w:type="dxa"/>
          </w:tcPr>
          <w:p w14:paraId="2BAB1455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总监理工程师必须是投标监理单位的长期稳定在职人员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；应具有较强的组织能力和协调能力，能够根据工程的实际情况及时地分析并预见影响工程质量、安全、进度的隐患和问题，并提出切实可行的解决方案和办法；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须具备不少于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6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年的相关项目工作经验，须熟悉信息化建设流程和管理办法，且具有卫生医疗信息化监理建设经验；须熟悉软件开发或测试、数据库管理、信息安全、全过程工程项目管理等领域，具有软件开发或软件测试工程师证书、数据库管理工程师证书、信息</w:t>
            </w:r>
            <w:proofErr w:type="gramStart"/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安全师</w:t>
            </w:r>
            <w:proofErr w:type="gramEnd"/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证书、网络安全防护师证书、全过程工程项目管理师证书、全过程工程咨询项目经理证书优先考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虑，年龄不得超过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55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岁，获得相关荣誉或奖项，需提供相关证明资料。</w:t>
            </w:r>
          </w:p>
        </w:tc>
        <w:tc>
          <w:tcPr>
            <w:tcW w:w="997" w:type="dxa"/>
          </w:tcPr>
          <w:p w14:paraId="5D37BCAC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☆</w:t>
            </w:r>
          </w:p>
        </w:tc>
      </w:tr>
      <w:tr w:rsidR="00833160" w14:paraId="1E13E648" w14:textId="77777777">
        <w:trPr>
          <w:trHeight w:val="293"/>
        </w:trPr>
        <w:tc>
          <w:tcPr>
            <w:tcW w:w="846" w:type="dxa"/>
            <w:vMerge/>
            <w:vAlign w:val="center"/>
          </w:tcPr>
          <w:p w14:paraId="4E254130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  <w:tc>
          <w:tcPr>
            <w:tcW w:w="1276" w:type="dxa"/>
          </w:tcPr>
          <w:p w14:paraId="06429FE3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监理大纲技术要求</w:t>
            </w:r>
          </w:p>
        </w:tc>
        <w:tc>
          <w:tcPr>
            <w:tcW w:w="6378" w:type="dxa"/>
          </w:tcPr>
          <w:p w14:paraId="44FC8BF3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监理大纲应针对本工程项目的性质、规模、工作内容等具体情况，由投标人编写。监理大纲应对监理的计划、组织、程序、方法等</w:t>
            </w:r>
            <w:proofErr w:type="gramStart"/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作出</w:t>
            </w:r>
            <w:proofErr w:type="gramEnd"/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表述。</w:t>
            </w:r>
          </w:p>
        </w:tc>
        <w:tc>
          <w:tcPr>
            <w:tcW w:w="997" w:type="dxa"/>
          </w:tcPr>
          <w:p w14:paraId="2791C3DE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★</w:t>
            </w:r>
          </w:p>
        </w:tc>
      </w:tr>
      <w:tr w:rsidR="00833160" w14:paraId="6989CB80" w14:textId="77777777">
        <w:trPr>
          <w:trHeight w:val="936"/>
        </w:trPr>
        <w:tc>
          <w:tcPr>
            <w:tcW w:w="846" w:type="dxa"/>
            <w:vMerge/>
            <w:vAlign w:val="center"/>
          </w:tcPr>
          <w:p w14:paraId="7C760855" w14:textId="77777777" w:rsidR="00833160" w:rsidRDefault="00833160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</w:p>
        </w:tc>
        <w:tc>
          <w:tcPr>
            <w:tcW w:w="1276" w:type="dxa"/>
          </w:tcPr>
          <w:p w14:paraId="572A9D36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业绩要求</w:t>
            </w:r>
          </w:p>
        </w:tc>
        <w:tc>
          <w:tcPr>
            <w:tcW w:w="6378" w:type="dxa"/>
          </w:tcPr>
          <w:p w14:paraId="19641E2D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优先考虑以下投标单位：</w:t>
            </w:r>
          </w:p>
          <w:p w14:paraId="30E6763F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(1)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ab/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20</w:t>
            </w: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21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年至今类似监理项目业绩较多的；</w:t>
            </w:r>
          </w:p>
          <w:p w14:paraId="145316D2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(2)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ab/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具有信息系统工程监理证书乙级及以上的；</w:t>
            </w:r>
          </w:p>
          <w:p w14:paraId="529F3826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(3)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ab/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具有信息系统工程监理主管部门或者主管协会颁发的信用等级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AAA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证书的；</w:t>
            </w:r>
          </w:p>
          <w:p w14:paraId="4139FD0B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(4)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ab/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具有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ISO9001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证书、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ISO20000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证书、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ISO45001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证书；</w:t>
            </w:r>
          </w:p>
          <w:p w14:paraId="68AD76C5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(5)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ab/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具有高新技术企业证书的；</w:t>
            </w:r>
          </w:p>
          <w:p w14:paraId="61B2535C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(6)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ab/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具有自主知识产权（专利、著作权）不少于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8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项的；</w:t>
            </w:r>
          </w:p>
          <w:p w14:paraId="1134CA90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(7)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ab/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获得相关部门颁发的荣誉证书的；</w:t>
            </w:r>
          </w:p>
          <w:p w14:paraId="314BBD7F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(8)</w:t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ab/>
            </w: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总监理工程师获得相关部门颁发的荣誉证书的。</w:t>
            </w:r>
          </w:p>
          <w:p w14:paraId="18DE1608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投标单位需提供相关资质（证书）、合同、项目竣工验收等相关证明材料。</w:t>
            </w:r>
          </w:p>
        </w:tc>
        <w:tc>
          <w:tcPr>
            <w:tcW w:w="997" w:type="dxa"/>
          </w:tcPr>
          <w:p w14:paraId="1AFFFC96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☆</w:t>
            </w:r>
          </w:p>
        </w:tc>
      </w:tr>
      <w:tr w:rsidR="00833160" w14:paraId="7B7CC652" w14:textId="77777777">
        <w:trPr>
          <w:trHeight w:val="286"/>
        </w:trPr>
        <w:tc>
          <w:tcPr>
            <w:tcW w:w="846" w:type="dxa"/>
            <w:vAlign w:val="center"/>
          </w:tcPr>
          <w:p w14:paraId="202F559C" w14:textId="77777777" w:rsidR="00833160" w:rsidRDefault="00502488">
            <w:pPr>
              <w:jc w:val="center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商务参数</w:t>
            </w:r>
          </w:p>
        </w:tc>
        <w:tc>
          <w:tcPr>
            <w:tcW w:w="1276" w:type="dxa"/>
          </w:tcPr>
          <w:p w14:paraId="52F406C1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/>
                <w:szCs w:val="21"/>
                <w14:ligatures w14:val="none"/>
              </w:rPr>
              <w:t>其他要求</w:t>
            </w:r>
          </w:p>
        </w:tc>
        <w:tc>
          <w:tcPr>
            <w:tcW w:w="6378" w:type="dxa"/>
          </w:tcPr>
          <w:p w14:paraId="17188EDC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本工程施工监理合同将采取闭口包干的性质，投标总价应包括监理服务全部内容。投标单位必须注意无论实际工程造价是否与估算造价有差距，或实施完成的总投资额度与本文件所述的投资额度有任何的差异，或施工工期与计划工期不一致，包干监理服务费均不允许调整。投标单位不得从事与本项目有关的设备采购、系统集成和应用系统开发等相关任务的商务活动。</w:t>
            </w:r>
          </w:p>
        </w:tc>
        <w:tc>
          <w:tcPr>
            <w:tcW w:w="997" w:type="dxa"/>
          </w:tcPr>
          <w:p w14:paraId="242D5E06" w14:textId="77777777" w:rsidR="00833160" w:rsidRDefault="00502488">
            <w:pPr>
              <w:jc w:val="left"/>
              <w:rPr>
                <w:rFonts w:ascii="仿宋_GB2312" w:eastAsia="仿宋_GB2312" w:hAnsi="Calibri" w:cs="Times New Roman"/>
                <w:szCs w:val="21"/>
                <w14:ligatures w14:val="none"/>
              </w:rPr>
            </w:pPr>
            <w:r>
              <w:rPr>
                <w:rFonts w:ascii="仿宋_GB2312" w:eastAsia="仿宋_GB2312" w:hAnsi="Calibri" w:cs="Times New Roman" w:hint="eastAsia"/>
                <w:szCs w:val="21"/>
                <w14:ligatures w14:val="none"/>
              </w:rPr>
              <w:t>★</w:t>
            </w:r>
          </w:p>
        </w:tc>
      </w:tr>
    </w:tbl>
    <w:p w14:paraId="14B1FB84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77CEE4EC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1367431C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12928803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5.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日常服务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/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维护内容</w:t>
      </w:r>
    </w:p>
    <w:p w14:paraId="3D1857DD" w14:textId="77777777" w:rsidR="00833160" w:rsidRDefault="00502488">
      <w:pPr>
        <w:keepNext/>
        <w:keepLines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val="zh-CN"/>
          <w14:ligatures w14:val="none"/>
        </w:rPr>
        <w:t>一、监理工作范围</w:t>
      </w:r>
    </w:p>
    <w:p w14:paraId="69EF8AF4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监理工作的内容主要是项目建设内容的监理，在项目建设过程中，提供的质量控制、进度控制、成本控制、变更控制、安全管理、合同管理、文档管理和项目协调等全过程、全方位的监理服务。</w:t>
      </w:r>
    </w:p>
    <w:p w14:paraId="25B2B265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监理服务范围</w:t>
      </w:r>
    </w:p>
    <w:p w14:paraId="53729AEA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在系统设计阶段的监理工作内容：合同签订、系统方案设计、深化设计阶段提供监理服务。</w:t>
      </w:r>
    </w:p>
    <w:p w14:paraId="6EADF51F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在实施阶段的监理工作内容：系统开发与系统集成过程、系统实施、文档保管与保存、硬件设备到货和上线、系统实施、试运行阶段、系统验收上线提供监理服务。如文档整理要求、监理意见、监理通知单、变更确认等相应的监理文档。</w:t>
      </w:r>
    </w:p>
    <w:p w14:paraId="22A1989B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监理工作目标</w:t>
      </w:r>
    </w:p>
    <w:p w14:paraId="2C682CFB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质量控制目标：信息化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项目质量满足国家、上海市的工程验收质量标准，项目终验一次通过的合格率达到</w:t>
      </w:r>
      <w:r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  <w:t>100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％。</w:t>
      </w:r>
    </w:p>
    <w:p w14:paraId="33925547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进度控制目标：信息化项目的进度按合同规定期限完成并完成终验。</w:t>
      </w:r>
    </w:p>
    <w:p w14:paraId="0FDE5232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成本控制目标：合同签订前审核工程量清单（如有需要），完工后核对工程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lastRenderedPageBreak/>
        <w:t>量清单。</w:t>
      </w:r>
    </w:p>
    <w:p w14:paraId="5F0413FD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变更控制目标：对变更对合同签订后，需要进行变更的内容进行审查、记录，提供监理意见，同时报业主单位。变更执行后，对变更的工程量进行复查，做好对工程量进行签认。</w:t>
      </w:r>
    </w:p>
    <w:p w14:paraId="3A7FCA38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安全文明管理目标：确保工程无重大安全事故，符合《建设工程安全生产管理条例》（国务院令第</w:t>
      </w:r>
      <w:r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  <w:t>393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号）以及《关于实施建设工程安全监理的指导意见》（沪建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建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管第</w:t>
      </w:r>
      <w:r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  <w:t>170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号文）等的相关要求。</w:t>
      </w:r>
    </w:p>
    <w:p w14:paraId="537DA31B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合同管理目标：完成项目的合同跟踪与管理，同时协助业主单位处理相关索赔事宜。</w:t>
      </w:r>
    </w:p>
    <w:p w14:paraId="15E717B5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信息管理目标：提供齐全的各类项目管理报表和签单模板，督促施工单位整理好工程技术资料归档，做好项目建设做好数据记录与保存，结合业主单位信息化实际情况，提供历史资料和数据追溯、审查的保管和查阅工具。</w:t>
      </w:r>
    </w:p>
    <w:p w14:paraId="5D852683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监理成果</w:t>
      </w:r>
    </w:p>
    <w:p w14:paraId="58234C6D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投标人需要明确告知招标人，监理单位中标后，能够给招标人或业主相关单位提供何种监理成果，包括文档，协调的成果等。使得招标人对监理的效果有直观理解并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能够接受。</w:t>
      </w:r>
    </w:p>
    <w:p w14:paraId="5D37CD75" w14:textId="77777777" w:rsidR="00833160" w:rsidRDefault="00502488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本次建设中涉及硬件、网络和系统集成等各类子项目，监理方需要根据自己熟悉的内容，并且在结合业主单位信息化的情况，进行有效监理。</w:t>
      </w:r>
    </w:p>
    <w:p w14:paraId="3E0773AA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278443E1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1A789A08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6.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功能完善及扩展性服务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/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维护</w:t>
      </w:r>
    </w:p>
    <w:p w14:paraId="0AC42B65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不适用</w:t>
      </w:r>
    </w:p>
    <w:p w14:paraId="71DE4E1E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1FB9EE90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7.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服务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/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维护要求及方式</w:t>
      </w:r>
    </w:p>
    <w:p w14:paraId="68C0C44D" w14:textId="77777777" w:rsidR="00833160" w:rsidRDefault="00502488">
      <w:pPr>
        <w:keepNext/>
        <w:keepLines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lang w:val="zh-CN"/>
          <w14:ligatures w14:val="none"/>
        </w:rPr>
        <w:t>一、监理服务内容</w:t>
      </w:r>
    </w:p>
    <w:p w14:paraId="4637B782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77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质量控制：监理单位应依据与信息化项目建设相关的法律、法规和标准，对质量进行控制。具体要求如下：</w:t>
      </w:r>
    </w:p>
    <w:p w14:paraId="6287C187" w14:textId="77777777" w:rsidR="00833160" w:rsidRDefault="005024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依据招标文件、投标文件、合同制定建设项目的技术规范等文件，审核承建单位的需求说明书、设计说明书、工程实施方案、质量管理计划等；</w:t>
      </w:r>
    </w:p>
    <w:p w14:paraId="0D1846F1" w14:textId="77777777" w:rsidR="00833160" w:rsidRDefault="005024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根据国家规范、标准，检查承建单位的项目实施状况、人员与实施方</w:t>
      </w: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lastRenderedPageBreak/>
        <w:t>案的一致性；</w:t>
      </w: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 xml:space="preserve"> </w:t>
      </w:r>
    </w:p>
    <w:p w14:paraId="7766386E" w14:textId="77777777" w:rsidR="00833160" w:rsidRDefault="005024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制定包括验收标准，验收方法和质量控制措施在内的详细监理控制方案；</w:t>
      </w:r>
    </w:p>
    <w:p w14:paraId="278FCC99" w14:textId="77777777" w:rsidR="00833160" w:rsidRDefault="005024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通过旁站、抽检等进行事前预防、事中控制，控制项目工程质量。</w:t>
      </w:r>
    </w:p>
    <w:p w14:paraId="52A8CE24" w14:textId="77777777" w:rsidR="00833160" w:rsidRDefault="005024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发现重大质量隐患或出现质量事故时，监理单位应要求承建单位立即采取措施，尽可能控制事故影响范围，签发停工令，并报告业主。</w:t>
      </w:r>
    </w:p>
    <w:p w14:paraId="30F91CA3" w14:textId="77777777" w:rsidR="00833160" w:rsidRDefault="005024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当项目建设出现质量问题或严重偏离计划时，监理单位应及时向业主报告，组织质量事故的原因调查、问题分析、问题评估、事故处理，并签发监理通知单，责令承建单位整改，并跟踪整改情况。</w:t>
      </w:r>
    </w:p>
    <w:p w14:paraId="5FCC5FB9" w14:textId="77777777" w:rsidR="00833160" w:rsidRDefault="0050248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对承建单位提供的</w:t>
      </w: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产品设备及服务进行验收，记录验收结果。</w:t>
      </w:r>
    </w:p>
    <w:p w14:paraId="3E811320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77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进度控制：监理单位对整个项目的进展情况的进行监督。督促承建单位按预定的计划有步骤地按时完成整个项目。具体要求如下：</w:t>
      </w:r>
    </w:p>
    <w:p w14:paraId="78C78112" w14:textId="77777777" w:rsidR="00833160" w:rsidRDefault="005024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督促承建单位制定进度计划；审查承建单位进度计划的合理性，对工程进度安排和进度控制措施提出监理意见；</w:t>
      </w: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 xml:space="preserve"> </w:t>
      </w:r>
    </w:p>
    <w:p w14:paraId="18AF9690" w14:textId="77777777" w:rsidR="00833160" w:rsidRDefault="005024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协助业主单位、协调承建单位确定项目建设的顺序，控制项目施工进度；</w:t>
      </w:r>
    </w:p>
    <w:p w14:paraId="232FD214" w14:textId="77777777" w:rsidR="00833160" w:rsidRDefault="005024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协调业主单位确认项目计划目标，建立进度计划基线，并在项目各阶段对照进度计划基线检查、记录实际进展情况，提供报告和监理意见。</w:t>
      </w:r>
    </w:p>
    <w:p w14:paraId="7C9B12D8" w14:textId="77777777" w:rsidR="00833160" w:rsidRDefault="005024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发现项目建设进程未能按计划进行时，要求承建单位调整或修改计划，采</w:t>
      </w: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取必要措施加快施工进度，以使实际施工进度符合合同的要求；</w:t>
      </w:r>
    </w:p>
    <w:p w14:paraId="642ED08B" w14:textId="77777777" w:rsidR="00833160" w:rsidRDefault="0050248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305" w:left="1065" w:hanging="425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当项目建设进度拖后可能导致合同工期严重延误时，有责任作详细报告分析原因和提出对策，供业主采取措施或做出决定。</w:t>
      </w:r>
    </w:p>
    <w:p w14:paraId="730349DF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77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成本控制：在项目实施过程中，严格审查和控制项目成本；在项目中若出现重大变更，必须严格评审和确认，核定变更费用，确保资金的合理使用。在项目各阶段，对照项目合同，审核承建单位工作量完成情况，审批承建单位的工程款支付申请。及时合理处理索赔事宜，协助业主单位进行工程决算和审计。</w:t>
      </w:r>
    </w:p>
    <w:p w14:paraId="6035E6FF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77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信息安全控制：信息安全控制作为一项基本监理活动贯穿于信息系统工程建设的全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过程。监理单位在项目过程中，协助业主规范信息安全管理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lastRenderedPageBreak/>
        <w:t>制度，并在项目建设过程中提供专业的信息安全技术建议，保证信息系统的正常运行。</w:t>
      </w:r>
    </w:p>
    <w:p w14:paraId="0EEBAF90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77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知识产权保护控制：在项目监理的整个过程中，对项目承担单位和承建单位有关方案、软件源代码及有关技术秘密等涉及知识产权的内容进行检查、监督和保护。</w:t>
      </w:r>
    </w:p>
    <w:p w14:paraId="02BAE283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77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变更管理：协助业主建立项目变更管理制度。在项目建设过程中，及时处理工程的变更申请，严格项目变更管理流程，审核变更的合理性，并对变更引起的质量、进度投资变化等提出意见，形成书面文件，编入竣工文档备案。</w:t>
      </w:r>
    </w:p>
    <w:p w14:paraId="56905BBC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77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合同管理：监理单位应本着客观、公正、合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理的原则，监督各方履行合同的行为，确保合同正常履行，维护合同各方的正当权益，确保本项目建设目标的实现。</w:t>
      </w:r>
    </w:p>
    <w:p w14:paraId="7B1C1236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77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项目协调与管理：监理单位应协助业主单位、承建单位建立项目的管理协调机制，配合业主开展项目管理工作。监理单位就项目中存在或出现的问题向业主单位、承建单位、设计单位提出独立、公正、公平的意见建议或解决方案；组织协调业主单位和承建单位对工程过程中的各项工作及变更、问题达成一致。</w:t>
      </w:r>
    </w:p>
    <w:p w14:paraId="7EF3AD6E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25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检验与检测：在项目过程中，监理单位应对承建单位的自检自测方案进行审核，对自检自测过程进行见证。</w:t>
      </w:r>
    </w:p>
    <w:p w14:paraId="65515310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77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项目验收：监理单位应协助业主的项目验收工作。在试运行阶段和竣工验收阶段，通过对承建单位有关初验、试运行方案的审核、条件的确定、测试手段与设备的检查、资料审核、实施的监督等手段以保证系统的验收顺利。具体内容如下：</w:t>
      </w:r>
    </w:p>
    <w:p w14:paraId="7BEC819F" w14:textId="77777777" w:rsidR="00833160" w:rsidRDefault="00502488" w:rsidP="00A11CC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314" w:left="940" w:hangingChars="117" w:hanging="281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审核承建单位提交的验收计划及方案；</w:t>
      </w:r>
    </w:p>
    <w:p w14:paraId="3B35B7C8" w14:textId="77777777" w:rsidR="00833160" w:rsidRDefault="00502488" w:rsidP="00A11CC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314" w:left="940" w:hangingChars="117" w:hanging="281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协助业主单位和承建单位在包括验收目标、各方责任、验收内容、验收标准、验收方式等内容上达成一致；</w:t>
      </w:r>
    </w:p>
    <w:p w14:paraId="16D859C9" w14:textId="77777777" w:rsidR="00833160" w:rsidRDefault="00502488" w:rsidP="00A11CC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314" w:left="940" w:hangingChars="117" w:hanging="281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审核、确认项目达到验收条件；</w:t>
      </w:r>
    </w:p>
    <w:p w14:paraId="04F93D9A" w14:textId="77777777" w:rsidR="00833160" w:rsidRDefault="00502488" w:rsidP="00A11CC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314" w:left="940" w:hangingChars="117" w:hanging="281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参与组织项目建设质量检查和验收，参与竣工验收和交接。对验收过程中发现的质量问题进行评估，并以监理通知单的方式告知承建单位，确</w:t>
      </w: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lastRenderedPageBreak/>
        <w:t>定整改要求和整</w:t>
      </w: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改后的验收方式。监理单位应与业主单位一起对验收结果进行确认；</w:t>
      </w:r>
    </w:p>
    <w:p w14:paraId="68BCFEA8" w14:textId="77777777" w:rsidR="00833160" w:rsidRDefault="00502488" w:rsidP="00A11CC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314" w:left="940" w:hangingChars="117" w:hanging="281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跟踪项目在质保期内的运行状况。</w:t>
      </w:r>
    </w:p>
    <w:p w14:paraId="35825856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691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文档管理：监理单位应协助业主确定来往文档种类、格式签发联系人等事宜。建立全面、准确反映项目各阶段状况的图表、文档，收集、管理项目各类文档和资料；督促、检查承建单位及时编制、签署、妥善保存、整理工程文档，完成各阶段设备资料、工程技术资料的整理和归档工作；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 xml:space="preserve"> </w:t>
      </w:r>
    </w:p>
    <w:p w14:paraId="6483A4E5" w14:textId="77777777" w:rsidR="00833160" w:rsidRDefault="0050248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招标文件、投标文件；</w:t>
      </w:r>
    </w:p>
    <w:p w14:paraId="2959D43D" w14:textId="77777777" w:rsidR="00833160" w:rsidRDefault="0050248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合同；</w:t>
      </w:r>
    </w:p>
    <w:p w14:paraId="762FE2FA" w14:textId="77777777" w:rsidR="00833160" w:rsidRDefault="0050248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需求说明书；</w:t>
      </w:r>
    </w:p>
    <w:p w14:paraId="26238137" w14:textId="77777777" w:rsidR="00833160" w:rsidRDefault="0050248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系统设计方案（数据库设计、概要设计、详细设计、测试方案等）；</w:t>
      </w:r>
    </w:p>
    <w:p w14:paraId="3B20E024" w14:textId="77777777" w:rsidR="00833160" w:rsidRDefault="0050248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实施计划、实施方案、产品及服务验收报告等；</w:t>
      </w:r>
    </w:p>
    <w:p w14:paraId="774391A7" w14:textId="77777777" w:rsidR="00833160" w:rsidRDefault="0050248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系统测试记录</w:t>
      </w: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、系统割接</w:t>
      </w: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/</w:t>
      </w: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上线方案、系统上线操作记录等；</w:t>
      </w:r>
    </w:p>
    <w:p w14:paraId="7637A5EE" w14:textId="77777777" w:rsidR="00833160" w:rsidRDefault="0050248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初验申请、初验报告、终验申请、终验报告、第三方测评记录、测评结论、专家评审结论等；</w:t>
      </w:r>
    </w:p>
    <w:p w14:paraId="4FE59BD0" w14:textId="77777777" w:rsidR="00833160" w:rsidRDefault="0050248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项目实施阶段所产生的监理文档：监理规划、开</w:t>
      </w:r>
      <w:proofErr w:type="gramStart"/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工令</w:t>
      </w:r>
      <w:proofErr w:type="gramEnd"/>
      <w:r>
        <w:rPr>
          <w:rFonts w:ascii="宋体" w:eastAsia="宋体" w:hAnsi="宋体" w:cs="宋体" w:hint="eastAsia"/>
          <w:sz w:val="24"/>
          <w:szCs w:val="24"/>
          <w:lang w:val="zh-CN"/>
          <w14:ligatures w14:val="none"/>
        </w:rPr>
        <w:t>、停工令、监理通知、监理例会纪要、监理报告、工作联系单、设备材料验收单、方案报审表、变更申请审批记录等。</w:t>
      </w:r>
    </w:p>
    <w:p w14:paraId="36975A3F" w14:textId="77777777" w:rsidR="00833160" w:rsidRDefault="0050248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691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监理服务质量：监理单位在服务过程中，应建立服务质量保证制度，明确用户投诉方式和处理渠道。</w:t>
      </w:r>
    </w:p>
    <w:p w14:paraId="43474E1B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1AA86EB0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3B01D2FE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8.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投入人员：驻场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xx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人，实施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xx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人等</w:t>
      </w:r>
    </w:p>
    <w:p w14:paraId="3FD568BC" w14:textId="77777777" w:rsidR="00833160" w:rsidRDefault="00502488">
      <w:pPr>
        <w:tabs>
          <w:tab w:val="center" w:pos="4153"/>
          <w:tab w:val="right" w:pos="8306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本项目监理机构需专业配套齐全，年龄结构合理，监理组人员为投标单位的在职监理工程师不少于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人。各专业监理工程师应具有相应的信息系统工程监理工作经历，包括总监理工程师、软件监理工程师、信息安全监理工程师等。所有在职监理工程师需稳定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,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需要正投标单位的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社保证明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；监理机构人员中如具有系统分析师证书、高级软件工程师证书、高级软件测试工程师证书、高级数据库管理工程师证书、信息安全师（高级）证书、信息安全管理工程师证书、全过程工程项目管理师证书、全过程工程咨询项目经理证书等优先考虑。</w:t>
      </w:r>
    </w:p>
    <w:p w14:paraId="0E364B8E" w14:textId="77777777" w:rsidR="00833160" w:rsidRDefault="00502488">
      <w:pPr>
        <w:tabs>
          <w:tab w:val="center" w:pos="4153"/>
          <w:tab w:val="right" w:pos="8306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lastRenderedPageBreak/>
        <w:t>总监理工程师必须是投标监理单位的长期稳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定在职人员；应具有较强的组织能力和协调能力，能够根据工程的实际情况及时地分析并预见影响工程质量、安全、进度的隐患和问题，并提出切实可行的解决方案和办法；须具备不少于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年的相关项目工作经验，须熟悉信息化建设流程和管理办法，且具有卫生医疗信息化监理建设经验；须熟悉软件开发或测试、数据库管理、信息安全、全过程工程项目管理等领域，具有软件开发或软件测试工程师证书、数据库管理工程师证书、信息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安全师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证书、网络安全防护师证书、全过程工程项目管理师证书、全过程工程咨询项目经理证书优先考虑，年龄不得超过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55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岁，获得相关荣誉或</w:t>
      </w: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奖项，需提供相关证明资料。</w:t>
      </w:r>
    </w:p>
    <w:p w14:paraId="53FD3ABC" w14:textId="77777777" w:rsidR="00833160" w:rsidRDefault="00502488">
      <w:pPr>
        <w:tabs>
          <w:tab w:val="center" w:pos="4153"/>
          <w:tab w:val="right" w:pos="8306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lang w:val="zh-CN"/>
          <w14:ligatures w14:val="none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val="zh-CN"/>
          <w14:ligatures w14:val="none"/>
        </w:rPr>
        <w:t>监理人员应有良好的职业道德和严谨的工作作风，在监理过程中不得向承建方介绍指定分包商和供应商。派驻现场的监理组人员名单须经招标单位确认后，未经招标单位书面批准不得更换。若自行更换或撤离，则按本招标文件有关条款扣除相应监理费用。</w:t>
      </w:r>
    </w:p>
    <w:p w14:paraId="1E79619B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768EC74C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50083B74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9. 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服务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/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运</w:t>
      </w:r>
      <w:proofErr w:type="gramStart"/>
      <w:r>
        <w:rPr>
          <w:rFonts w:ascii="宋体" w:eastAsia="宋体" w:hAnsi="宋体" w:cs="Times New Roman" w:hint="eastAsia"/>
          <w:sz w:val="24"/>
          <w:szCs w:val="24"/>
          <w14:ligatures w14:val="none"/>
        </w:rPr>
        <w:t>维价格</w:t>
      </w:r>
      <w:proofErr w:type="gramEnd"/>
      <w:r>
        <w:rPr>
          <w:rFonts w:ascii="宋体" w:eastAsia="宋体" w:hAnsi="宋体" w:cs="Times New Roman" w:hint="eastAsia"/>
          <w:sz w:val="24"/>
          <w:szCs w:val="24"/>
          <w14:ligatures w14:val="none"/>
        </w:rPr>
        <w:t>是否一次谈判三年有效，</w:t>
      </w:r>
      <w:r>
        <w:rPr>
          <w:rFonts w:ascii="宋体" w:eastAsia="宋体" w:hAnsi="宋体" w:cs="Times New Roman" w:hint="eastAsia"/>
          <w:sz w:val="24"/>
          <w:szCs w:val="24"/>
          <w:bdr w:val="single" w:sz="4" w:space="0" w:color="auto"/>
          <w14:ligatures w14:val="none"/>
        </w:rPr>
        <w:t>√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是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□否</w:t>
      </w:r>
    </w:p>
    <w:p w14:paraId="355BB22D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3CA15A56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66DDC188" w14:textId="77777777" w:rsidR="00833160" w:rsidRDefault="00502488">
      <w:pPr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10.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其他要求（数据统计、巡检服务、培训要求、供应商资质等）</w:t>
      </w:r>
    </w:p>
    <w:p w14:paraId="3F3F0C1F" w14:textId="77777777" w:rsidR="00833160" w:rsidRDefault="0050248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优先</w:t>
      </w:r>
      <w:r>
        <w:rPr>
          <w:rFonts w:ascii="宋体" w:eastAsia="宋体" w:hAnsi="宋体" w:cs="Times New Roman"/>
          <w:kern w:val="0"/>
          <w:sz w:val="24"/>
          <w:szCs w:val="24"/>
          <w14:ligatures w14:val="none"/>
        </w:rPr>
        <w:t>考虑</w:t>
      </w:r>
      <w:r>
        <w:rPr>
          <w:rFonts w:ascii="宋体" w:eastAsia="宋体" w:hAnsi="宋体" w:cs="Times New Roman" w:hint="eastAsia"/>
          <w:kern w:val="0"/>
          <w:sz w:val="24"/>
          <w:szCs w:val="24"/>
          <w14:ligatures w14:val="none"/>
        </w:rPr>
        <w:t>以下</w:t>
      </w:r>
      <w:r>
        <w:rPr>
          <w:rFonts w:ascii="宋体" w:eastAsia="宋体" w:hAnsi="宋体" w:cs="Times New Roman"/>
          <w:kern w:val="0"/>
          <w:sz w:val="24"/>
          <w:szCs w:val="24"/>
          <w14:ligatures w14:val="none"/>
        </w:rPr>
        <w:t>投标单位：</w:t>
      </w:r>
    </w:p>
    <w:p w14:paraId="70C0D81A" w14:textId="77777777" w:rsidR="00833160" w:rsidRDefault="00502488">
      <w:pPr>
        <w:numPr>
          <w:ilvl w:val="1"/>
          <w:numId w:val="6"/>
        </w:numPr>
        <w:adjustRightInd w:val="0"/>
        <w:snapToGrid w:val="0"/>
        <w:spacing w:line="360" w:lineRule="auto"/>
        <w:rPr>
          <w:rFonts w:ascii="宋体" w:eastAsia="宋体" w:hAnsi="宋体" w:cs="宋体"/>
          <w:bCs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2021</w:t>
      </w: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年至今类似监理项目业绩较多的；</w:t>
      </w:r>
    </w:p>
    <w:p w14:paraId="312F4B4B" w14:textId="77777777" w:rsidR="00833160" w:rsidRDefault="00502488">
      <w:pPr>
        <w:numPr>
          <w:ilvl w:val="1"/>
          <w:numId w:val="6"/>
        </w:numPr>
        <w:adjustRightInd w:val="0"/>
        <w:snapToGrid w:val="0"/>
        <w:spacing w:line="360" w:lineRule="auto"/>
        <w:rPr>
          <w:rFonts w:ascii="宋体" w:eastAsia="宋体" w:hAnsi="宋体" w:cs="宋体"/>
          <w:bCs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具有信息系统工程监理证书乙级及以上的；</w:t>
      </w:r>
    </w:p>
    <w:p w14:paraId="7E683ACF" w14:textId="77777777" w:rsidR="00833160" w:rsidRDefault="00502488">
      <w:pPr>
        <w:numPr>
          <w:ilvl w:val="1"/>
          <w:numId w:val="6"/>
        </w:numPr>
        <w:adjustRightInd w:val="0"/>
        <w:snapToGrid w:val="0"/>
        <w:spacing w:line="360" w:lineRule="auto"/>
        <w:rPr>
          <w:rFonts w:ascii="宋体" w:eastAsia="宋体" w:hAnsi="宋体" w:cs="宋体"/>
          <w:bCs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具有信息系统工程监理主管部门或者主管协会颁发的信用等级</w:t>
      </w: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AAA</w:t>
      </w: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证书的；</w:t>
      </w:r>
    </w:p>
    <w:p w14:paraId="7FA50ABC" w14:textId="77777777" w:rsidR="00833160" w:rsidRDefault="00502488">
      <w:pPr>
        <w:numPr>
          <w:ilvl w:val="1"/>
          <w:numId w:val="6"/>
        </w:numPr>
        <w:adjustRightInd w:val="0"/>
        <w:snapToGrid w:val="0"/>
        <w:spacing w:line="360" w:lineRule="auto"/>
        <w:rPr>
          <w:rFonts w:ascii="宋体" w:eastAsia="宋体" w:hAnsi="宋体" w:cs="宋体"/>
          <w:bCs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具有</w:t>
      </w: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ISO</w:t>
      </w:r>
      <w:r>
        <w:rPr>
          <w:rFonts w:ascii="宋体" w:eastAsia="宋体" w:hAnsi="宋体" w:cs="宋体"/>
          <w:bCs/>
          <w:kern w:val="0"/>
          <w:sz w:val="24"/>
          <w:szCs w:val="24"/>
          <w14:ligatures w14:val="none"/>
        </w:rPr>
        <w:t>9001</w:t>
      </w: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证书、</w:t>
      </w: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ISO</w:t>
      </w:r>
      <w:r>
        <w:rPr>
          <w:rFonts w:ascii="宋体" w:eastAsia="宋体" w:hAnsi="宋体" w:cs="宋体"/>
          <w:bCs/>
          <w:kern w:val="0"/>
          <w:sz w:val="24"/>
          <w:szCs w:val="24"/>
          <w14:ligatures w14:val="none"/>
        </w:rPr>
        <w:t>20000</w:t>
      </w: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证书、</w:t>
      </w: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ISO45001</w:t>
      </w: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证书；</w:t>
      </w:r>
    </w:p>
    <w:p w14:paraId="7999D218" w14:textId="77777777" w:rsidR="00833160" w:rsidRDefault="00502488">
      <w:pPr>
        <w:numPr>
          <w:ilvl w:val="1"/>
          <w:numId w:val="6"/>
        </w:numPr>
        <w:adjustRightInd w:val="0"/>
        <w:snapToGrid w:val="0"/>
        <w:spacing w:line="360" w:lineRule="auto"/>
        <w:rPr>
          <w:rFonts w:ascii="宋体" w:eastAsia="宋体" w:hAnsi="宋体" w:cs="宋体"/>
          <w:bCs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具有高新技术企业证书的；</w:t>
      </w:r>
    </w:p>
    <w:p w14:paraId="1D1DD00B" w14:textId="77777777" w:rsidR="00833160" w:rsidRDefault="00502488">
      <w:pPr>
        <w:numPr>
          <w:ilvl w:val="1"/>
          <w:numId w:val="6"/>
        </w:numPr>
        <w:adjustRightInd w:val="0"/>
        <w:snapToGrid w:val="0"/>
        <w:spacing w:line="360" w:lineRule="auto"/>
        <w:rPr>
          <w:rFonts w:ascii="宋体" w:eastAsia="宋体" w:hAnsi="宋体" w:cs="宋体"/>
          <w:bCs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具有自主知识产权（专利、著作权）不少于</w:t>
      </w: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8</w:t>
      </w: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项的；</w:t>
      </w:r>
    </w:p>
    <w:p w14:paraId="1BC2EA13" w14:textId="77777777" w:rsidR="00833160" w:rsidRDefault="00502488">
      <w:pPr>
        <w:numPr>
          <w:ilvl w:val="1"/>
          <w:numId w:val="6"/>
        </w:numPr>
        <w:adjustRightInd w:val="0"/>
        <w:snapToGrid w:val="0"/>
        <w:spacing w:line="360" w:lineRule="auto"/>
        <w:rPr>
          <w:rFonts w:ascii="宋体" w:eastAsia="宋体" w:hAnsi="宋体" w:cs="宋体"/>
          <w:bCs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获得相关部门颁发的荣誉证书的；</w:t>
      </w:r>
    </w:p>
    <w:p w14:paraId="1F9A9799" w14:textId="77777777" w:rsidR="00833160" w:rsidRDefault="00502488">
      <w:pPr>
        <w:numPr>
          <w:ilvl w:val="1"/>
          <w:numId w:val="6"/>
        </w:numPr>
        <w:adjustRightInd w:val="0"/>
        <w:snapToGrid w:val="0"/>
        <w:spacing w:line="360" w:lineRule="auto"/>
        <w:rPr>
          <w:rFonts w:ascii="宋体" w:eastAsia="宋体" w:hAnsi="宋体" w:cs="宋体"/>
          <w:bCs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总监理工程师获得相关部门颁发的荣誉证书的。</w:t>
      </w:r>
    </w:p>
    <w:p w14:paraId="08B68102" w14:textId="77777777" w:rsidR="00833160" w:rsidRDefault="0050248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kern w:val="0"/>
          <w:sz w:val="24"/>
          <w:szCs w:val="24"/>
          <w14:ligatures w14:val="none"/>
        </w:rPr>
      </w:pPr>
      <w:r>
        <w:rPr>
          <w:rFonts w:ascii="宋体" w:eastAsia="宋体" w:hAnsi="宋体" w:cs="宋体" w:hint="eastAsia"/>
          <w:bCs/>
          <w:kern w:val="0"/>
          <w:sz w:val="24"/>
          <w:szCs w:val="24"/>
          <w14:ligatures w14:val="none"/>
        </w:rPr>
        <w:t>投标单位需提供相关资质（证书）、合同、项目竣工验收等相关证明材料。</w:t>
      </w:r>
    </w:p>
    <w:p w14:paraId="39306A96" w14:textId="77777777" w:rsidR="00833160" w:rsidRDefault="00833160">
      <w:pPr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645669ED" w14:textId="77777777" w:rsidR="00833160" w:rsidRDefault="00502488">
      <w:pPr>
        <w:spacing w:line="360" w:lineRule="auto"/>
        <w:rPr>
          <w:rFonts w:ascii="宋体" w:eastAsia="宋体" w:hAnsi="宋体" w:cs="Times New Roman"/>
          <w:sz w:val="24"/>
          <w:szCs w:val="24"/>
          <w14:ligatures w14:val="none"/>
        </w:rPr>
      </w:pPr>
      <w:r>
        <w:rPr>
          <w:rFonts w:ascii="宋体" w:eastAsia="宋体" w:hAnsi="宋体" w:cs="Times New Roman" w:hint="eastAsia"/>
          <w:sz w:val="24"/>
          <w:szCs w:val="24"/>
          <w14:ligatures w14:val="none"/>
        </w:rPr>
        <w:lastRenderedPageBreak/>
        <w:t>*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指标按重要性分为“★”、“☆”、“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#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”和“△”。★代表实质性指标，不满足该指标项将导致投标被拒绝，☆代表优质优价指标，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#</w:t>
      </w:r>
      <w:r>
        <w:rPr>
          <w:rFonts w:ascii="宋体" w:eastAsia="宋体" w:hAnsi="宋体" w:cs="Times New Roman" w:hint="eastAsia"/>
          <w:sz w:val="24"/>
          <w:szCs w:val="24"/>
          <w14:ligatures w14:val="none"/>
        </w:rPr>
        <w:t>代表重要指标，△则表示一般指标项。</w:t>
      </w:r>
    </w:p>
    <w:p w14:paraId="637E45FC" w14:textId="77777777" w:rsidR="00833160" w:rsidRDefault="00833160">
      <w:pPr>
        <w:spacing w:line="360" w:lineRule="auto"/>
        <w:rPr>
          <w:rFonts w:ascii="宋体" w:eastAsia="宋体" w:hAnsi="宋体" w:cs="Times New Roman"/>
          <w:sz w:val="24"/>
          <w:szCs w:val="24"/>
          <w14:ligatures w14:val="none"/>
        </w:rPr>
      </w:pPr>
    </w:p>
    <w:p w14:paraId="74E5C0C8" w14:textId="77777777" w:rsidR="00833160" w:rsidRDefault="00833160">
      <w:pPr>
        <w:rPr>
          <w:rFonts w:ascii="宋体" w:eastAsia="宋体" w:hAnsi="宋体"/>
          <w:sz w:val="24"/>
          <w:szCs w:val="24"/>
        </w:rPr>
      </w:pPr>
    </w:p>
    <w:sectPr w:rsidR="0083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4E8E"/>
    <w:multiLevelType w:val="multilevel"/>
    <w:tmpl w:val="0B4E4E8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2EF7DCD"/>
    <w:multiLevelType w:val="multilevel"/>
    <w:tmpl w:val="12EF7DCD"/>
    <w:lvl w:ilvl="0">
      <w:start w:val="1"/>
      <w:numFmt w:val="decimal"/>
      <w:lvlText w:val="%1)"/>
      <w:lvlJc w:val="left"/>
      <w:pPr>
        <w:ind w:left="1455" w:hanging="420"/>
      </w:pPr>
    </w:lvl>
    <w:lvl w:ilvl="1">
      <w:start w:val="1"/>
      <w:numFmt w:val="lowerLetter"/>
      <w:lvlText w:val="%2)"/>
      <w:lvlJc w:val="left"/>
      <w:pPr>
        <w:ind w:left="1875" w:hanging="420"/>
      </w:pPr>
    </w:lvl>
    <w:lvl w:ilvl="2">
      <w:start w:val="1"/>
      <w:numFmt w:val="lowerRoman"/>
      <w:lvlText w:val="%3."/>
      <w:lvlJc w:val="right"/>
      <w:pPr>
        <w:ind w:left="2295" w:hanging="420"/>
      </w:pPr>
    </w:lvl>
    <w:lvl w:ilvl="3">
      <w:start w:val="1"/>
      <w:numFmt w:val="decimal"/>
      <w:lvlText w:val="%4."/>
      <w:lvlJc w:val="left"/>
      <w:pPr>
        <w:ind w:left="2715" w:hanging="420"/>
      </w:pPr>
    </w:lvl>
    <w:lvl w:ilvl="4">
      <w:start w:val="1"/>
      <w:numFmt w:val="lowerLetter"/>
      <w:lvlText w:val="%5)"/>
      <w:lvlJc w:val="left"/>
      <w:pPr>
        <w:ind w:left="3135" w:hanging="420"/>
      </w:pPr>
    </w:lvl>
    <w:lvl w:ilvl="5">
      <w:start w:val="1"/>
      <w:numFmt w:val="lowerRoman"/>
      <w:lvlText w:val="%6."/>
      <w:lvlJc w:val="right"/>
      <w:pPr>
        <w:ind w:left="3555" w:hanging="420"/>
      </w:pPr>
    </w:lvl>
    <w:lvl w:ilvl="6">
      <w:start w:val="1"/>
      <w:numFmt w:val="decimal"/>
      <w:lvlText w:val="%7."/>
      <w:lvlJc w:val="left"/>
      <w:pPr>
        <w:ind w:left="3975" w:hanging="420"/>
      </w:pPr>
    </w:lvl>
    <w:lvl w:ilvl="7">
      <w:start w:val="1"/>
      <w:numFmt w:val="lowerLetter"/>
      <w:lvlText w:val="%8)"/>
      <w:lvlJc w:val="left"/>
      <w:pPr>
        <w:ind w:left="4395" w:hanging="420"/>
      </w:pPr>
    </w:lvl>
    <w:lvl w:ilvl="8">
      <w:start w:val="1"/>
      <w:numFmt w:val="lowerRoman"/>
      <w:lvlText w:val="%9."/>
      <w:lvlJc w:val="right"/>
      <w:pPr>
        <w:ind w:left="4815" w:hanging="420"/>
      </w:pPr>
    </w:lvl>
  </w:abstractNum>
  <w:abstractNum w:abstractNumId="2">
    <w:nsid w:val="19DF489F"/>
    <w:multiLevelType w:val="multilevel"/>
    <w:tmpl w:val="19DF489F"/>
    <w:lvl w:ilvl="0">
      <w:start w:val="1"/>
      <w:numFmt w:val="decimal"/>
      <w:lvlText w:val="%1)"/>
      <w:lvlJc w:val="left"/>
      <w:pPr>
        <w:ind w:left="1455" w:hanging="420"/>
      </w:pPr>
    </w:lvl>
    <w:lvl w:ilvl="1">
      <w:start w:val="1"/>
      <w:numFmt w:val="lowerLetter"/>
      <w:lvlText w:val="%2)"/>
      <w:lvlJc w:val="left"/>
      <w:pPr>
        <w:ind w:left="1875" w:hanging="420"/>
      </w:pPr>
    </w:lvl>
    <w:lvl w:ilvl="2">
      <w:start w:val="1"/>
      <w:numFmt w:val="lowerRoman"/>
      <w:lvlText w:val="%3."/>
      <w:lvlJc w:val="right"/>
      <w:pPr>
        <w:ind w:left="2295" w:hanging="420"/>
      </w:pPr>
    </w:lvl>
    <w:lvl w:ilvl="3">
      <w:start w:val="1"/>
      <w:numFmt w:val="decimal"/>
      <w:lvlText w:val="%4."/>
      <w:lvlJc w:val="left"/>
      <w:pPr>
        <w:ind w:left="2715" w:hanging="420"/>
      </w:pPr>
    </w:lvl>
    <w:lvl w:ilvl="4">
      <w:start w:val="1"/>
      <w:numFmt w:val="lowerLetter"/>
      <w:lvlText w:val="%5)"/>
      <w:lvlJc w:val="left"/>
      <w:pPr>
        <w:ind w:left="3135" w:hanging="420"/>
      </w:pPr>
    </w:lvl>
    <w:lvl w:ilvl="5">
      <w:start w:val="1"/>
      <w:numFmt w:val="lowerRoman"/>
      <w:lvlText w:val="%6."/>
      <w:lvlJc w:val="right"/>
      <w:pPr>
        <w:ind w:left="3555" w:hanging="420"/>
      </w:pPr>
    </w:lvl>
    <w:lvl w:ilvl="6">
      <w:start w:val="1"/>
      <w:numFmt w:val="decimal"/>
      <w:lvlText w:val="%7."/>
      <w:lvlJc w:val="left"/>
      <w:pPr>
        <w:ind w:left="3975" w:hanging="420"/>
      </w:pPr>
    </w:lvl>
    <w:lvl w:ilvl="7">
      <w:start w:val="1"/>
      <w:numFmt w:val="lowerLetter"/>
      <w:lvlText w:val="%8)"/>
      <w:lvlJc w:val="left"/>
      <w:pPr>
        <w:ind w:left="4395" w:hanging="420"/>
      </w:pPr>
    </w:lvl>
    <w:lvl w:ilvl="8">
      <w:start w:val="1"/>
      <w:numFmt w:val="lowerRoman"/>
      <w:lvlText w:val="%9."/>
      <w:lvlJc w:val="right"/>
      <w:pPr>
        <w:ind w:left="4815" w:hanging="420"/>
      </w:pPr>
    </w:lvl>
  </w:abstractNum>
  <w:abstractNum w:abstractNumId="3">
    <w:nsid w:val="2B470A85"/>
    <w:multiLevelType w:val="multilevel"/>
    <w:tmpl w:val="2B470A85"/>
    <w:lvl w:ilvl="0">
      <w:start w:val="1"/>
      <w:numFmt w:val="decimal"/>
      <w:lvlText w:val="%1)"/>
      <w:lvlJc w:val="left"/>
      <w:pPr>
        <w:ind w:left="1111" w:hanging="420"/>
      </w:pPr>
    </w:lvl>
    <w:lvl w:ilvl="1">
      <w:start w:val="1"/>
      <w:numFmt w:val="decimal"/>
      <w:lvlText w:val="（%2）"/>
      <w:lvlJc w:val="left"/>
      <w:pPr>
        <w:ind w:left="1831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51" w:hanging="420"/>
      </w:pPr>
    </w:lvl>
    <w:lvl w:ilvl="3">
      <w:start w:val="1"/>
      <w:numFmt w:val="decimal"/>
      <w:lvlText w:val="%4."/>
      <w:lvlJc w:val="left"/>
      <w:pPr>
        <w:ind w:left="2371" w:hanging="420"/>
      </w:pPr>
    </w:lvl>
    <w:lvl w:ilvl="4">
      <w:start w:val="1"/>
      <w:numFmt w:val="lowerLetter"/>
      <w:lvlText w:val="%5)"/>
      <w:lvlJc w:val="left"/>
      <w:pPr>
        <w:ind w:left="2791" w:hanging="420"/>
      </w:pPr>
    </w:lvl>
    <w:lvl w:ilvl="5">
      <w:start w:val="1"/>
      <w:numFmt w:val="lowerRoman"/>
      <w:lvlText w:val="%6."/>
      <w:lvlJc w:val="right"/>
      <w:pPr>
        <w:ind w:left="3211" w:hanging="420"/>
      </w:pPr>
    </w:lvl>
    <w:lvl w:ilvl="6">
      <w:start w:val="1"/>
      <w:numFmt w:val="decimal"/>
      <w:lvlText w:val="%7."/>
      <w:lvlJc w:val="left"/>
      <w:pPr>
        <w:ind w:left="3631" w:hanging="420"/>
      </w:pPr>
    </w:lvl>
    <w:lvl w:ilvl="7">
      <w:start w:val="1"/>
      <w:numFmt w:val="lowerLetter"/>
      <w:lvlText w:val="%8)"/>
      <w:lvlJc w:val="left"/>
      <w:pPr>
        <w:ind w:left="4051" w:hanging="420"/>
      </w:pPr>
    </w:lvl>
    <w:lvl w:ilvl="8">
      <w:start w:val="1"/>
      <w:numFmt w:val="lowerRoman"/>
      <w:lvlText w:val="%9."/>
      <w:lvlJc w:val="right"/>
      <w:pPr>
        <w:ind w:left="4471" w:hanging="420"/>
      </w:pPr>
    </w:lvl>
  </w:abstractNum>
  <w:abstractNum w:abstractNumId="4">
    <w:nsid w:val="502E396E"/>
    <w:multiLevelType w:val="multilevel"/>
    <w:tmpl w:val="502E396E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2C80B67"/>
    <w:multiLevelType w:val="multilevel"/>
    <w:tmpl w:val="52C80B67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04"/>
    <w:rsid w:val="000675CF"/>
    <w:rsid w:val="0039509F"/>
    <w:rsid w:val="004623C0"/>
    <w:rsid w:val="00502488"/>
    <w:rsid w:val="00510604"/>
    <w:rsid w:val="00833160"/>
    <w:rsid w:val="008D147E"/>
    <w:rsid w:val="00921821"/>
    <w:rsid w:val="00A11CC4"/>
    <w:rsid w:val="00E8288A"/>
    <w:rsid w:val="00E935F9"/>
    <w:rsid w:val="00EE38DB"/>
    <w:rsid w:val="00EF05C5"/>
    <w:rsid w:val="00FD5677"/>
    <w:rsid w:val="363925D5"/>
    <w:rsid w:val="49017C37"/>
    <w:rsid w:val="713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卢建龙</cp:lastModifiedBy>
  <cp:revision>22</cp:revision>
  <dcterms:created xsi:type="dcterms:W3CDTF">2024-01-14T12:27:00Z</dcterms:created>
  <dcterms:modified xsi:type="dcterms:W3CDTF">2025-07-08T00:22:00Z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eyJoZGlkIjoiMmU1ZTY3Y2IwYTEzNDBhMmQ2YWRiNDVmODgwNzQ1YjQiLCJ1c2VySWQiOiIxNDgyMzc4NzUzIn0=</vt:lpwstr>
  </property>
  <property fmtid="{D5CDD505-2E9C-101B-9397-08002B2CF9AE}" pid="3" name="KSOProductBuildVer">
    <vt:lpwstr>2052-12.1.0.19770</vt:lpwstr>
  </property>
  <property fmtid="{D5CDD505-2E9C-101B-9397-08002B2CF9AE}" pid="4" name="ICV">
    <vt:lpwstr>4783E42F0D8B4661B9B3771D62ABDB60_12</vt:lpwstr>
  </property>
</Properties>
</file>