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5F1BCD">
      <w:pPr>
        <w:pStyle w:val="8"/>
        <w:jc w:val="left"/>
        <w:rPr>
          <w:rFonts w:ascii="宋体" w:hAnsi="宋体" w:cs="宋体"/>
          <w:kern w:val="2"/>
          <w:sz w:val="28"/>
          <w:szCs w:val="28"/>
        </w:rPr>
      </w:pPr>
      <w:r>
        <w:rPr>
          <w:rFonts w:hint="eastAsia" w:ascii="宋体" w:hAnsi="宋体" w:cs="宋体"/>
          <w:kern w:val="2"/>
          <w:sz w:val="28"/>
          <w:szCs w:val="28"/>
        </w:rPr>
        <w:t>项目名称：复旦大学附属肿瘤医院浦东院区污水处理站维修改造项目</w:t>
      </w:r>
    </w:p>
    <w:p w14:paraId="2FB68BD8">
      <w:pPr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预算科目：西区污水处理站改造，总预算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93</w:t>
      </w:r>
      <w:r>
        <w:rPr>
          <w:rFonts w:hint="eastAsia" w:ascii="宋体" w:hAnsi="宋体" w:cs="宋体"/>
          <w:b/>
          <w:bCs/>
          <w:sz w:val="28"/>
          <w:szCs w:val="28"/>
        </w:rPr>
        <w:t>万，项目类</w:t>
      </w:r>
    </w:p>
    <w:p w14:paraId="62E69C04">
      <w:pPr>
        <w:widowControl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本项目经费：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93</w:t>
      </w:r>
      <w:r>
        <w:rPr>
          <w:rFonts w:hint="eastAsia" w:ascii="宋体" w:hAnsi="宋体" w:cs="宋体"/>
          <w:b/>
          <w:bCs/>
          <w:sz w:val="28"/>
          <w:szCs w:val="28"/>
        </w:rPr>
        <w:t>万</w:t>
      </w:r>
    </w:p>
    <w:p w14:paraId="0808A68F">
      <w:pPr>
        <w:widowControl/>
        <w:jc w:val="left"/>
        <w:rPr>
          <w:rFonts w:ascii="宋体" w:hAnsi="宋体" w:cs="宋体"/>
          <w:b/>
          <w:bCs/>
          <w:sz w:val="28"/>
          <w:szCs w:val="28"/>
        </w:rPr>
      </w:pPr>
    </w:p>
    <w:p w14:paraId="2C3113C6">
      <w:pPr>
        <w:spacing w:before="312" w:beforeLines="100" w:after="312" w:afterLines="10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 xml:space="preserve">一、招标项目概况 </w:t>
      </w:r>
    </w:p>
    <w:p w14:paraId="5EE9F3AE">
      <w:pPr>
        <w:spacing w:before="312" w:beforeLines="100" w:after="312" w:afterLines="1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1．本次采购内容：复旦大学附属肿瘤医院浦东院区污水处理站维修改造项目</w:t>
      </w:r>
    </w:p>
    <w:p w14:paraId="2BA63528">
      <w:pPr>
        <w:spacing w:before="312" w:beforeLines="100" w:after="312" w:afterLines="1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2．服务内容：浦东院区西区污水处理站改造 </w:t>
      </w:r>
    </w:p>
    <w:p w14:paraId="09FEEDFD">
      <w:pPr>
        <w:spacing w:before="312" w:beforeLines="100" w:after="312" w:afterLines="1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．服务期：本项目为一次性招标。招标人可根据实际情况，无条件终止合同。另外，若中标人考核不通过或发生投标人损害招标人权益的情况，招标人有权无条件终止合同。在服务过程中服务质量不能满足招标人要求，招标人有权立即与投标人无条件解除合同。合同执行中遇有执行重大变更、不可抗力及上级主管部门重大政策变化，双方按合同约定另行友好协商解决。</w:t>
      </w:r>
    </w:p>
    <w:p w14:paraId="08C5009B">
      <w:pPr>
        <w:spacing w:before="312" w:beforeLines="100" w:after="312" w:afterLines="1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4．服务地点：复旦大学附属肿瘤医院浦东院区（上海市浦东新区康新公路4333号、红曲路688号）。</w:t>
      </w:r>
    </w:p>
    <w:p w14:paraId="2A49D110">
      <w:pPr>
        <w:spacing w:before="312" w:beforeLines="100" w:after="312" w:afterLines="1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5．预算金额：</w:t>
      </w:r>
      <w:r>
        <w:rPr>
          <w:rFonts w:hint="eastAsia" w:ascii="宋体" w:hAnsi="宋体" w:eastAsia="宋体"/>
          <w:sz w:val="24"/>
          <w:lang w:val="en-US" w:eastAsia="zh-CN"/>
        </w:rPr>
        <w:t>93</w:t>
      </w:r>
      <w:r>
        <w:rPr>
          <w:rFonts w:hint="eastAsia" w:ascii="宋体" w:hAnsi="宋体" w:eastAsia="宋体"/>
          <w:sz w:val="24"/>
        </w:rPr>
        <w:t>万元人民币（含税）。最终以实际使用结算为准，但不超过预算额。</w:t>
      </w:r>
    </w:p>
    <w:p w14:paraId="658802F5">
      <w:pPr>
        <w:spacing w:before="312" w:beforeLines="100" w:after="312" w:afterLines="10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 xml:space="preserve">二、对投标人的资格要求 </w:t>
      </w:r>
    </w:p>
    <w:p w14:paraId="1C7F48DF">
      <w:pPr>
        <w:spacing w:before="312" w:beforeLines="100" w:after="312" w:afterLines="1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1．投标人必须是在中华人民共和国境内注册的法人或其他组织，并提供单位身份的证明文件（企业营业执照、事业法人登记证书或其他组 织证明其身份的文件）； </w:t>
      </w:r>
    </w:p>
    <w:p w14:paraId="3CE60ACF">
      <w:pPr>
        <w:spacing w:before="312" w:beforeLines="100" w:after="312" w:afterLines="1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2．投标人参加本次采购活动前三年内在经营活动中没有重大违法记录； </w:t>
      </w:r>
    </w:p>
    <w:p w14:paraId="764B95DB">
      <w:pPr>
        <w:spacing w:before="312" w:beforeLines="100" w:after="312" w:afterLines="1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3．本次招标不接受联合体投标</w:t>
      </w:r>
    </w:p>
    <w:p w14:paraId="5F6B31EC">
      <w:pPr>
        <w:widowControl/>
        <w:jc w:val="left"/>
      </w:pPr>
      <w:r>
        <w:br w:type="page"/>
      </w:r>
    </w:p>
    <w:p w14:paraId="27AE48C9">
      <w:pPr>
        <w:widowControl/>
        <w:spacing w:before="312" w:beforeLines="100" w:after="312" w:afterLines="100"/>
        <w:jc w:val="left"/>
        <w:rPr>
          <w:rFonts w:ascii="宋体" w:hAnsi="宋体" w:cs="宋体"/>
          <w:b/>
          <w:bCs/>
          <w:sz w:val="24"/>
          <w:szCs w:val="28"/>
        </w:rPr>
      </w:pPr>
      <w:r>
        <w:rPr>
          <w:rFonts w:ascii="宋体" w:hAnsi="宋体" w:cs="宋体"/>
          <w:b/>
          <w:bCs/>
          <w:sz w:val="24"/>
          <w:szCs w:val="28"/>
        </w:rPr>
        <w:t>三、项目参数</w:t>
      </w:r>
    </w:p>
    <w:p w14:paraId="12459C9E">
      <w:pPr>
        <w:pStyle w:val="7"/>
        <w:numPr>
          <w:ilvl w:val="0"/>
          <w:numId w:val="2"/>
        </w:numPr>
      </w:pPr>
      <w:r>
        <w:rPr>
          <w:rFonts w:hint="eastAsia"/>
        </w:rPr>
        <w:t>项目概况</w:t>
      </w:r>
    </w:p>
    <w:p w14:paraId="25991204">
      <w:pPr>
        <w:pStyle w:val="7"/>
        <w:numPr>
          <w:ilvl w:val="0"/>
          <w:numId w:val="0"/>
        </w:numPr>
      </w:pPr>
      <w:r>
        <w:rPr>
          <w:rFonts w:hint="eastAsia"/>
        </w:rPr>
        <w:t>1、概述</w:t>
      </w:r>
    </w:p>
    <w:p w14:paraId="0AA2D0C2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textAlignment w:val="auto"/>
        <w:rPr>
          <w:rFonts w:hint="eastAsia"/>
        </w:rPr>
      </w:pPr>
      <w:r>
        <w:rPr>
          <w:rFonts w:hint="eastAsia"/>
        </w:rPr>
        <w:t>复旦大学附属肿瘤医院</w:t>
      </w:r>
      <w:r>
        <w:rPr>
          <w:rFonts w:hint="eastAsia"/>
          <w:lang w:val="en-US" w:eastAsia="zh-CN"/>
        </w:rPr>
        <w:t>浦东院区</w:t>
      </w:r>
      <w:r>
        <w:rPr>
          <w:rFonts w:hint="eastAsia"/>
        </w:rPr>
        <w:t>位于上海市浦东新区</w:t>
      </w:r>
      <w:r>
        <w:rPr>
          <w:rFonts w:hint="eastAsia"/>
          <w:lang w:val="en-US" w:eastAsia="zh-CN"/>
        </w:rPr>
        <w:t>康新公路4333号、</w:t>
      </w:r>
      <w:r>
        <w:rPr>
          <w:rFonts w:hint="eastAsia"/>
        </w:rPr>
        <w:t>红曲路688号，污水处理站分为东区、西区两座，以及实验室污水中和处理系统一套。</w:t>
      </w:r>
    </w:p>
    <w:p w14:paraId="332F88E4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textAlignment w:val="auto"/>
        <w:rPr>
          <w:rFonts w:hint="eastAsia"/>
        </w:rPr>
      </w:pPr>
      <w:r>
        <w:rPr>
          <w:rFonts w:hint="eastAsia"/>
        </w:rPr>
        <w:t>根据设计图纸参数，西区污水处理站设计规模为750m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/d 。由于污水站运行时间较长，部分功能设施老化，目前的污水处理设施设备需要更新换代升级，以应对环保政策和自身对自动化管理的要求。</w:t>
      </w:r>
    </w:p>
    <w:p w14:paraId="523C372B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/>
        </w:rPr>
      </w:pPr>
      <w:r>
        <w:rPr>
          <w:position w:val="-162"/>
        </w:rPr>
        <w:drawing>
          <wp:inline distT="0" distB="0" distL="0" distR="0">
            <wp:extent cx="4796790" cy="3444875"/>
            <wp:effectExtent l="0" t="0" r="3810" b="3175"/>
            <wp:docPr id="10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93EBE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textAlignment w:val="auto"/>
        <w:rPr>
          <w:rFonts w:hint="eastAsia"/>
        </w:rPr>
      </w:pPr>
    </w:p>
    <w:p w14:paraId="64E9FCEE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textAlignment w:val="auto"/>
        <w:rPr>
          <w:rFonts w:hint="eastAsia"/>
        </w:rPr>
      </w:pPr>
    </w:p>
    <w:p w14:paraId="25DFA459">
      <w:pPr>
        <w:pStyle w:val="7"/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污水站现状</w:t>
      </w:r>
      <w:r>
        <w:rPr>
          <w:position w:val="-197"/>
        </w:rPr>
        <w:drawing>
          <wp:inline distT="0" distB="0" distL="0" distR="0">
            <wp:extent cx="6049645" cy="6266815"/>
            <wp:effectExtent l="0" t="0" r="8255" b="635"/>
            <wp:docPr id="11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0279" cy="626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26DB">
      <w:pPr>
        <w:pStyle w:val="7"/>
        <w:widowControl/>
        <w:numPr>
          <w:ilvl w:val="0"/>
          <w:numId w:val="0"/>
        </w:numPr>
        <w:adjustRightInd w:val="0"/>
        <w:snapToGrid w:val="0"/>
        <w:spacing w:line="360" w:lineRule="auto"/>
        <w:jc w:val="left"/>
        <w:rPr>
          <w:rFonts w:hint="eastAsia"/>
        </w:rPr>
      </w:pPr>
    </w:p>
    <w:p w14:paraId="59BF6450">
      <w:pPr>
        <w:pStyle w:val="7"/>
        <w:numPr>
          <w:ilvl w:val="0"/>
          <w:numId w:val="0"/>
        </w:numPr>
        <w:rPr>
          <w:rFonts w:cstheme="minorEastAsia"/>
        </w:rPr>
      </w:pPr>
      <w:r>
        <w:rPr>
          <w:rFonts w:hint="eastAsia"/>
        </w:rPr>
        <w:t>（1）医院污水站分为东区和西区两套，东区污水处理站运行正常。由于设备房和加药间都是在地下室，在西区污水处理站现场发现，由于通风不好导致现场设备腐蚀情况比较严重。格栅机表面及管道表面都已锈迹斑斑。电控箱内部的电器元件基本都已生锈，严重影响设备的正常运行。</w:t>
      </w:r>
    </w:p>
    <w:p w14:paraId="055AAE97">
      <w:pPr>
        <w:pStyle w:val="7"/>
        <w:numPr>
          <w:ilvl w:val="0"/>
          <w:numId w:val="0"/>
        </w:numPr>
        <w:jc w:val="center"/>
      </w:pPr>
      <w:r>
        <w:drawing>
          <wp:inline distT="0" distB="0" distL="114300" distR="114300">
            <wp:extent cx="1800225" cy="2400300"/>
            <wp:effectExtent l="0" t="0" r="9525" b="0"/>
            <wp:docPr id="1" name="图片 1" descr="7e93668899358538aa0934e02b1b5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e93668899358538aa0934e02b1b5b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2919" cy="240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4975" cy="2384425"/>
            <wp:effectExtent l="0" t="0" r="0" b="0"/>
            <wp:docPr id="2" name="图片 2" descr="ff4bff18f6638763b75a29d037b5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f4bff18f6638763b75a29d037b55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5564" cy="238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17370" cy="2512060"/>
            <wp:effectExtent l="0" t="0" r="0" b="2540"/>
            <wp:docPr id="3" name="图片 3" descr="56df902c44b5742169b36548e6146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6df902c44b5742169b36548e6146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9400" cy="251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4020" cy="2512695"/>
            <wp:effectExtent l="0" t="0" r="0" b="1905"/>
            <wp:docPr id="4" name="图片 4" descr="0630f78bb78504a648be3d8f91863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630f78bb78504a648be3d8f91863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6155" cy="251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F5A0">
      <w:pPr>
        <w:pStyle w:val="7"/>
        <w:numPr>
          <w:ilvl w:val="0"/>
          <w:numId w:val="0"/>
        </w:numPr>
      </w:pPr>
    </w:p>
    <w:p w14:paraId="1D3801AC">
      <w:pPr>
        <w:pStyle w:val="7"/>
        <w:numPr>
          <w:ilvl w:val="0"/>
          <w:numId w:val="0"/>
        </w:numPr>
      </w:pPr>
    </w:p>
    <w:p w14:paraId="72338530">
      <w:pPr>
        <w:pStyle w:val="7"/>
        <w:numPr>
          <w:ilvl w:val="0"/>
          <w:numId w:val="0"/>
        </w:numPr>
      </w:pPr>
      <w:r>
        <w:rPr>
          <w:rFonts w:hint="eastAsia"/>
        </w:rPr>
        <w:t>（2）加药系统由于环境密闭，搅拌机和加药泵已经腐蚀损坏，无法正常使用。</w:t>
      </w:r>
    </w:p>
    <w:p w14:paraId="56F150FC">
      <w:pPr>
        <w:pStyle w:val="7"/>
        <w:numPr>
          <w:ilvl w:val="0"/>
          <w:numId w:val="0"/>
        </w:numPr>
        <w:jc w:val="center"/>
      </w:pPr>
      <w:r>
        <w:drawing>
          <wp:inline distT="0" distB="0" distL="114300" distR="114300">
            <wp:extent cx="1871345" cy="2493645"/>
            <wp:effectExtent l="0" t="0" r="0" b="1905"/>
            <wp:docPr id="5" name="图片 5" descr="a77c303bf3852c5145aad2da42159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77c303bf3852c5145aad2da42159a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1193" cy="249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68805" cy="2492375"/>
            <wp:effectExtent l="0" t="0" r="0" b="3175"/>
            <wp:docPr id="6" name="图片 6" descr="65241aa616c0373cf430755d31aec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5241aa616c0373cf430755d31aecc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9968" cy="249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268F9">
      <w:pPr>
        <w:pStyle w:val="7"/>
        <w:numPr>
          <w:ilvl w:val="0"/>
          <w:numId w:val="0"/>
        </w:numPr>
      </w:pPr>
      <w:r>
        <w:rPr>
          <w:rFonts w:hint="eastAsia"/>
        </w:rPr>
        <w:t>（3）曝气风机机头故障，已经无法开启，叠螺污泥泵锈蚀，无法运行。</w:t>
      </w:r>
    </w:p>
    <w:p w14:paraId="049E6A11">
      <w:pPr>
        <w:pStyle w:val="7"/>
        <w:numPr>
          <w:ilvl w:val="0"/>
          <w:numId w:val="0"/>
        </w:numPr>
        <w:jc w:val="center"/>
      </w:pPr>
      <w:r>
        <w:drawing>
          <wp:inline distT="0" distB="0" distL="114300" distR="114300">
            <wp:extent cx="2057400" cy="2742565"/>
            <wp:effectExtent l="0" t="0" r="0" b="635"/>
            <wp:docPr id="7" name="图片 7" descr="3009248edfb37475f16a28bfd77bc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009248edfb37475f16a28bfd77bc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8937" cy="274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1050" cy="2733675"/>
            <wp:effectExtent l="0" t="0" r="6350" b="0"/>
            <wp:docPr id="8" name="图片 8" descr="89246d15e275719dc3db8a283169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9246d15e275719dc3db8a283169d5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3464" cy="273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61B7">
      <w:pPr>
        <w:pStyle w:val="7"/>
        <w:numPr>
          <w:ilvl w:val="0"/>
          <w:numId w:val="0"/>
        </w:numPr>
        <w:rPr>
          <w:b/>
          <w:bCs/>
        </w:rPr>
      </w:pPr>
      <w:r>
        <w:rPr>
          <w:rFonts w:hint="eastAsia"/>
        </w:rPr>
        <w:t>（4）管道及数采仪器若干原件均损坏需更换。</w:t>
      </w:r>
    </w:p>
    <w:p w14:paraId="5404314A">
      <w:pPr>
        <w:pStyle w:val="7"/>
        <w:numPr>
          <w:ilvl w:val="0"/>
          <w:numId w:val="0"/>
        </w:numPr>
        <w:jc w:val="center"/>
      </w:pPr>
      <w:r>
        <w:rPr>
          <w:rFonts w:cstheme="minorEastAsia"/>
        </w:rPr>
        <w:drawing>
          <wp:inline distT="0" distB="0" distL="114300" distR="114300">
            <wp:extent cx="1809750" cy="2412365"/>
            <wp:effectExtent l="0" t="0" r="0" b="6985"/>
            <wp:docPr id="12" name="图片 12" descr="bfc838f55581123703370f33311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fc838f55581123703370f3331129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3075" cy="241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7210" cy="2409825"/>
            <wp:effectExtent l="0" t="0" r="2540" b="0"/>
            <wp:docPr id="9" name="图片 9" descr="497f170579c3d3497bc9f5941912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97f170579c3d3497bc9f5941912aa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0291" cy="241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8DE93">
      <w:pPr>
        <w:pStyle w:val="7"/>
        <w:numPr>
          <w:ilvl w:val="0"/>
          <w:numId w:val="0"/>
        </w:numPr>
        <w:ind w:leftChars="0"/>
      </w:pPr>
    </w:p>
    <w:p w14:paraId="793E71FF">
      <w:pPr>
        <w:pStyle w:val="7"/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改造目标</w:t>
      </w:r>
    </w:p>
    <w:p w14:paraId="57BC33A8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0" w:firstLine="480" w:firstLineChars="200"/>
        <w:textAlignment w:val="auto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提升处理效率：通过更新老旧设备，采用更先进的污水处理技术和设备，优化处理工艺，提高污水处理效率，确保出水水质稳定达标。</w:t>
      </w:r>
    </w:p>
    <w:p w14:paraId="676C493E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0" w:firstLine="480" w:firstLineChars="200"/>
        <w:textAlignment w:val="auto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增强自动化水平：引入先进的自动化控制系统，实现污水处理过程的智能化管理，减少人工干预，提高运行效率。</w:t>
      </w:r>
    </w:p>
    <w:p w14:paraId="3292E6B7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0" w:firstLine="480" w:firstLineChars="200"/>
        <w:textAlignment w:val="auto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</w:rPr>
        <w:t>节能降耗：采用高效节能的污水处理技术和设备，降低运行成本，实现可持续发展。</w:t>
      </w:r>
    </w:p>
    <w:p w14:paraId="26454B11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0" w:firstLine="480" w:firstLineChars="200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/>
        </w:rPr>
        <w:t>符合环保政策：确保改造后的污水处理站能够满足当前及未来一段时间的环保政策 和排放标准。</w:t>
      </w:r>
    </w:p>
    <w:p w14:paraId="749D1718">
      <w:pPr>
        <w:pStyle w:val="7"/>
        <w:numPr>
          <w:ilvl w:val="0"/>
          <w:numId w:val="0"/>
        </w:numPr>
        <w:ind w:leftChars="0"/>
      </w:pPr>
    </w:p>
    <w:p w14:paraId="111BC9EA">
      <w:pPr>
        <w:pStyle w:val="7"/>
        <w:numPr>
          <w:ilvl w:val="0"/>
          <w:numId w:val="2"/>
        </w:numPr>
      </w:pPr>
      <w:r>
        <w:rPr>
          <w:rFonts w:hint="eastAsia"/>
        </w:rPr>
        <w:t>编制依据</w:t>
      </w:r>
    </w:p>
    <w:p w14:paraId="39BF6973">
      <w:pPr>
        <w:numPr>
          <w:ilvl w:val="0"/>
          <w:numId w:val="4"/>
        </w:numPr>
        <w:adjustRightInd w:val="0"/>
        <w:snapToGrid w:val="0"/>
        <w:spacing w:line="360" w:lineRule="auto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设计依据及其采用的设计规范及标准</w:t>
      </w:r>
    </w:p>
    <w:p w14:paraId="02B7AE3F">
      <w:pPr>
        <w:numPr>
          <w:ilvl w:val="0"/>
          <w:numId w:val="0"/>
        </w:numPr>
        <w:adjustRightInd w:val="0"/>
        <w:snapToGrid w:val="0"/>
        <w:spacing w:line="360" w:lineRule="auto"/>
        <w:ind w:leftChars="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(1)《中华人民共和国环境保护法》和《水污染防治法》</w:t>
      </w:r>
    </w:p>
    <w:p w14:paraId="6D3C9FAB">
      <w:pPr>
        <w:numPr>
          <w:ilvl w:val="0"/>
          <w:numId w:val="0"/>
        </w:numPr>
        <w:adjustRightInd w:val="0"/>
        <w:snapToGrid w:val="0"/>
        <w:spacing w:line="360" w:lineRule="auto"/>
        <w:ind w:leftChars="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(2)国务院(1998)第253号令《建设项目环境保护管理条例》</w:t>
      </w:r>
    </w:p>
    <w:p w14:paraId="55774845">
      <w:pPr>
        <w:numPr>
          <w:ilvl w:val="0"/>
          <w:numId w:val="0"/>
        </w:numPr>
        <w:adjustRightInd w:val="0"/>
        <w:snapToGrid w:val="0"/>
        <w:spacing w:line="360" w:lineRule="auto"/>
        <w:ind w:leftChars="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(3)《污水综合排放标准》GB8978－1996</w:t>
      </w:r>
    </w:p>
    <w:p w14:paraId="6463B810">
      <w:pPr>
        <w:numPr>
          <w:ilvl w:val="0"/>
          <w:numId w:val="0"/>
        </w:numPr>
        <w:adjustRightInd w:val="0"/>
        <w:snapToGrid w:val="0"/>
        <w:spacing w:line="360" w:lineRule="auto"/>
        <w:ind w:leftChars="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(4)《医疗机构水污染物排放标准》(GB 18466—2005))</w:t>
      </w:r>
    </w:p>
    <w:p w14:paraId="24CE118F">
      <w:pPr>
        <w:numPr>
          <w:ilvl w:val="0"/>
          <w:numId w:val="0"/>
        </w:numPr>
        <w:adjustRightInd w:val="0"/>
        <w:snapToGrid w:val="0"/>
        <w:spacing w:line="360" w:lineRule="auto"/>
        <w:ind w:leftChars="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(5)《室外排水设计标准》GB50014-2019</w:t>
      </w:r>
    </w:p>
    <w:p w14:paraId="3ABD52EC">
      <w:pPr>
        <w:numPr>
          <w:ilvl w:val="0"/>
          <w:numId w:val="0"/>
        </w:numPr>
        <w:adjustRightInd w:val="0"/>
        <w:snapToGrid w:val="0"/>
        <w:spacing w:line="360" w:lineRule="auto"/>
        <w:ind w:leftChars="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(6)《医疗机构水污染物排放标准》GB18466-2005</w:t>
      </w:r>
    </w:p>
    <w:p w14:paraId="0AB4DD24">
      <w:pPr>
        <w:numPr>
          <w:ilvl w:val="0"/>
          <w:numId w:val="0"/>
        </w:numPr>
        <w:adjustRightInd w:val="0"/>
        <w:snapToGrid w:val="0"/>
        <w:spacing w:line="360" w:lineRule="auto"/>
        <w:ind w:leftChars="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(7)《医院污水处理技术指南》国环发[2003]197号</w:t>
      </w:r>
    </w:p>
    <w:p w14:paraId="3833D612">
      <w:pPr>
        <w:numPr>
          <w:ilvl w:val="0"/>
          <w:numId w:val="0"/>
        </w:numPr>
        <w:adjustRightInd w:val="0"/>
        <w:snapToGrid w:val="0"/>
        <w:spacing w:line="360" w:lineRule="auto"/>
        <w:ind w:leftChars="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(8)《医院污水处理工程技术规范》HJ2029-2024</w:t>
      </w:r>
    </w:p>
    <w:p w14:paraId="7DCE1484">
      <w:pPr>
        <w:numPr>
          <w:ilvl w:val="0"/>
          <w:numId w:val="0"/>
        </w:numPr>
        <w:adjustRightInd w:val="0"/>
        <w:snapToGrid w:val="0"/>
        <w:spacing w:line="360" w:lineRule="auto"/>
        <w:ind w:leftChars="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(9)《医院污水处理设计规范》CECS07-2004</w:t>
      </w:r>
    </w:p>
    <w:p w14:paraId="56C210B9">
      <w:pPr>
        <w:numPr>
          <w:ilvl w:val="0"/>
          <w:numId w:val="0"/>
        </w:numPr>
        <w:adjustRightInd w:val="0"/>
        <w:snapToGrid w:val="0"/>
        <w:spacing w:line="360" w:lineRule="auto"/>
        <w:ind w:leftChars="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(10)《污水综合排放标准》DB31/199-2018</w:t>
      </w:r>
    </w:p>
    <w:p w14:paraId="0A4309E6">
      <w:pPr>
        <w:numPr>
          <w:ilvl w:val="0"/>
          <w:numId w:val="0"/>
        </w:numPr>
        <w:adjustRightInd w:val="0"/>
        <w:snapToGrid w:val="0"/>
        <w:spacing w:line="360" w:lineRule="auto"/>
        <w:ind w:leftChars="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(11)《城市区域环境噪音标准》(GB3096-2008)</w:t>
      </w:r>
    </w:p>
    <w:p w14:paraId="015FFCEF">
      <w:pPr>
        <w:numPr>
          <w:ilvl w:val="0"/>
          <w:numId w:val="0"/>
        </w:numPr>
        <w:adjustRightInd w:val="0"/>
        <w:snapToGrid w:val="0"/>
        <w:spacing w:line="360" w:lineRule="auto"/>
        <w:ind w:leftChars="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(12)《上海市大气污染防治条例》</w:t>
      </w:r>
    </w:p>
    <w:p w14:paraId="2EB228C2">
      <w:pPr>
        <w:numPr>
          <w:ilvl w:val="0"/>
          <w:numId w:val="0"/>
        </w:numPr>
        <w:adjustRightInd w:val="0"/>
        <w:snapToGrid w:val="0"/>
        <w:spacing w:line="360" w:lineRule="auto"/>
        <w:ind w:left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(13)《恶臭 (异味)污染物排放标准》DB31/1025-2016</w:t>
      </w:r>
    </w:p>
    <w:p w14:paraId="04070D50">
      <w:pPr>
        <w:numPr>
          <w:ilvl w:val="0"/>
          <w:numId w:val="4"/>
        </w:numPr>
        <w:adjustRightInd w:val="0"/>
        <w:snapToGrid w:val="0"/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服务原则</w:t>
      </w:r>
    </w:p>
    <w:p w14:paraId="6CD8FEDB">
      <w:pPr>
        <w:numPr>
          <w:ilvl w:val="1"/>
          <w:numId w:val="4"/>
        </w:numPr>
        <w:adjustRightInd w:val="0"/>
        <w:snapToGrid w:val="0"/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遵循国家有关环境保护的法规、规范、标准。按照采购人总体规划，结合实际情况，对污水合理分析，分别治理，更好地发挥投资效益。 </w:t>
      </w:r>
    </w:p>
    <w:p w14:paraId="5770821D">
      <w:pPr>
        <w:numPr>
          <w:ilvl w:val="1"/>
          <w:numId w:val="4"/>
        </w:numPr>
        <w:adjustRightInd w:val="0"/>
        <w:snapToGrid w:val="0"/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根据废水性质及特点，从采购人实际情况出发，按照污水水质与水量、收纳水体的环境容量、场地等因素经技术经济比较，采用能耗低、技术先进、处理效率高、运行费用低、投资少、占地面积小、操作管理简单的成熟处理工艺。积极、慎重地采用经实践证明行之有效的新技术、新工艺、新材料和新设备。</w:t>
      </w:r>
    </w:p>
    <w:p w14:paraId="1BB5B862">
      <w:pPr>
        <w:numPr>
          <w:ilvl w:val="1"/>
          <w:numId w:val="4"/>
        </w:numPr>
        <w:adjustRightInd w:val="0"/>
        <w:snapToGrid w:val="0"/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遵循施工技术规范和验收标准的原则，严格按照施工技术规范要求优化施工方案，认真执行工程质量检验和验收标准。</w:t>
      </w:r>
    </w:p>
    <w:p w14:paraId="4963E712">
      <w:pPr>
        <w:numPr>
          <w:ilvl w:val="1"/>
          <w:numId w:val="4"/>
        </w:numPr>
        <w:adjustRightInd w:val="0"/>
        <w:snapToGrid w:val="0"/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遵循实事求是的原则，在编制施工方案时，根据本工程特点，从实际出发，科学组织，合理安排，均衡施工，达到快速、有序，优质、高效。</w:t>
      </w:r>
    </w:p>
    <w:p w14:paraId="59DE6A05">
      <w:pPr>
        <w:numPr>
          <w:ilvl w:val="1"/>
          <w:numId w:val="4"/>
        </w:numPr>
        <w:adjustRightInd w:val="0"/>
        <w:snapToGrid w:val="0"/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遵循“科技是第一生产力”的原则，广泛应用“四新”(新技术、新工艺、新材料、新设备)成果，发挥科技在施工中的先导保障作用。</w:t>
      </w:r>
    </w:p>
    <w:p w14:paraId="6799DAD0">
      <w:pPr>
        <w:numPr>
          <w:ilvl w:val="1"/>
          <w:numId w:val="4"/>
        </w:numPr>
        <w:adjustRightInd w:val="0"/>
        <w:snapToGrid w:val="0"/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遵循专业化队伍施工和综合管理的原则，在组织施工时，以专业作业队为基本形式，配备充足的施工机械设备，同时采取综合管理手段合理调配施工资源，以达到整体优化的目的。</w:t>
      </w:r>
    </w:p>
    <w:p w14:paraId="6A4F8369">
      <w:pPr>
        <w:numPr>
          <w:ilvl w:val="1"/>
          <w:numId w:val="4"/>
        </w:numPr>
        <w:adjustRightInd w:val="0"/>
        <w:snapToGrid w:val="0"/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遵循“安全第一，预防为主”的原则，从制度、管理、方案资源等方面制定切实可行的措施。</w:t>
      </w:r>
    </w:p>
    <w:p w14:paraId="33C89E09">
      <w:pPr>
        <w:numPr>
          <w:ilvl w:val="1"/>
          <w:numId w:val="4"/>
        </w:numPr>
        <w:adjustRightInd w:val="0"/>
        <w:snapToGrid w:val="0"/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遵循科学配置的原则，根据本项目的工作量大小及各项管理目标的要求，在实施团队中实行科学配置。选派经过专业培训具有丰富的现场经验的管理人员:安排技术熟练、具有专业化水平能力强、整体素质好的服务队伍。投入高效先进的实施设备。</w:t>
      </w:r>
    </w:p>
    <w:p w14:paraId="3C58BB2F">
      <w:pPr>
        <w:numPr>
          <w:ilvl w:val="0"/>
          <w:numId w:val="0"/>
        </w:numPr>
        <w:adjustRightInd w:val="0"/>
        <w:snapToGrid w:val="0"/>
        <w:spacing w:line="360" w:lineRule="auto"/>
        <w:ind w:leftChars="0"/>
        <w:rPr>
          <w:rFonts w:ascii="宋体" w:hAnsi="宋体" w:eastAsia="宋体"/>
          <w:sz w:val="24"/>
        </w:rPr>
      </w:pPr>
    </w:p>
    <w:p w14:paraId="14D0DBE4">
      <w:pPr>
        <w:pStyle w:val="7"/>
        <w:numPr>
          <w:ilvl w:val="0"/>
          <w:numId w:val="2"/>
        </w:numPr>
        <w:rPr>
          <w:rFonts w:ascii="宋体" w:hAnsi="宋体"/>
          <w:sz w:val="24"/>
        </w:rPr>
      </w:pPr>
      <w:r>
        <w:rPr>
          <w:rFonts w:hint="eastAsia"/>
          <w:lang w:val="en-US" w:eastAsia="zh-CN"/>
        </w:rPr>
        <w:t>报价要求</w:t>
      </w:r>
    </w:p>
    <w:p w14:paraId="1CAF207D">
      <w:pPr>
        <w:numPr>
          <w:ilvl w:val="0"/>
          <w:numId w:val="5"/>
        </w:numPr>
        <w:adjustRightInd w:val="0"/>
        <w:snapToGrid w:val="0"/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★报价要求：投标人需根据具体服务项目分项报价，并合计总价作为本项目报价。报价包含人工费、材料费、运输费、税费等一切费用，采购人不在支付任何额外费用。</w:t>
      </w:r>
    </w:p>
    <w:p w14:paraId="726F1BBD">
      <w:pPr>
        <w:numPr>
          <w:ilvl w:val="0"/>
          <w:numId w:val="5"/>
        </w:numPr>
        <w:adjustRightInd w:val="0"/>
        <w:snapToGrid w:val="0"/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实施周期及质量要求</w:t>
      </w:r>
    </w:p>
    <w:p w14:paraId="210A016B">
      <w:pPr>
        <w:numPr>
          <w:ilvl w:val="1"/>
          <w:numId w:val="5"/>
        </w:numPr>
        <w:adjustRightInd w:val="0"/>
        <w:snapToGrid w:val="0"/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实施周期：30天内</w:t>
      </w:r>
    </w:p>
    <w:p w14:paraId="4261424D">
      <w:pPr>
        <w:numPr>
          <w:ilvl w:val="1"/>
          <w:numId w:val="5"/>
        </w:numPr>
        <w:adjustRightInd w:val="0"/>
        <w:snapToGrid w:val="0"/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质量要求：符合国家质量验收标准。</w:t>
      </w:r>
    </w:p>
    <w:p w14:paraId="7E128D72">
      <w:pPr>
        <w:adjustRightInd w:val="0"/>
        <w:snapToGrid w:val="0"/>
        <w:spacing w:line="360" w:lineRule="auto"/>
        <w:rPr>
          <w:rFonts w:ascii="宋体" w:hAnsi="宋体"/>
          <w:sz w:val="24"/>
        </w:rPr>
      </w:pPr>
    </w:p>
    <w:p w14:paraId="1466EE13">
      <w:pPr>
        <w:adjustRightInd w:val="0"/>
        <w:snapToGrid w:val="0"/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（四）安全操作规程</w:t>
      </w:r>
    </w:p>
    <w:p w14:paraId="1A587D48">
      <w:pPr>
        <w:adjustRightInd w:val="0"/>
        <w:snapToGrid w:val="0"/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1、编制有限空间作业方案。有限空间内涉及高处作业和动火作业，必须同时办理有限空间作业、高处作业和动火作业许可证，经审批后方可作业。</w:t>
      </w:r>
    </w:p>
    <w:p w14:paraId="297B6B0C">
      <w:pPr>
        <w:adjustRightInd w:val="0"/>
        <w:snapToGrid w:val="0"/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2、作业现场负责人、监护人和作业人员到位后，现场负责人对全部人员进行安全交底。</w:t>
      </w:r>
    </w:p>
    <w:p w14:paraId="4FC613C3">
      <w:pPr>
        <w:adjustRightInd w:val="0"/>
        <w:snapToGrid w:val="0"/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3、结合现场情况选择符合要求的劳动防护用品，作业人员和监护人员正确佩戴劳动防护用品。</w:t>
      </w:r>
    </w:p>
    <w:p w14:paraId="51EDE812">
      <w:pPr>
        <w:adjustRightInd w:val="0"/>
        <w:snapToGrid w:val="0"/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4、根据作业现场涉及的危险有害因素配备符合条件的应急救援装备。</w:t>
      </w:r>
    </w:p>
    <w:p w14:paraId="14EACCAF">
      <w:pPr>
        <w:adjustRightInd w:val="0"/>
        <w:snapToGrid w:val="0"/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5、在污水处理站进出口设置警戒线进行隔离。</w:t>
      </w:r>
    </w:p>
    <w:p w14:paraId="19A589CF">
      <w:pPr>
        <w:adjustRightInd w:val="0"/>
        <w:snapToGrid w:val="0"/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6、作业前确认维修段电气设备和管路已采取电气隔离和污水隔离措施，同时在控制开关和阀门处设专人监护。</w:t>
      </w:r>
    </w:p>
    <w:p w14:paraId="6D54BB12">
      <w:pPr>
        <w:adjustRightInd w:val="0"/>
        <w:snapToGrid w:val="0"/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7、对污水处理站进行通风换气，气体浓度检测合格后方可进入作业。</w:t>
      </w:r>
    </w:p>
    <w:p w14:paraId="15EDB0CD">
      <w:pPr>
        <w:adjustRightInd w:val="0"/>
        <w:snapToGrid w:val="0"/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8、作业过程中监护人员在有限空间外全程监护，应持续对有限空间进行通风。</w:t>
      </w:r>
    </w:p>
    <w:p w14:paraId="568CC522">
      <w:pPr>
        <w:adjustRightInd w:val="0"/>
        <w:snapToGrid w:val="0"/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9、作业结束后现场负责人组织清理现场并清点设备和人员。</w:t>
      </w:r>
    </w:p>
    <w:p w14:paraId="621B36C5">
      <w:pPr>
        <w:adjustRightInd w:val="0"/>
        <w:snapToGrid w:val="0"/>
        <w:spacing w:line="360" w:lineRule="auto"/>
        <w:rPr>
          <w:rFonts w:hint="eastAsia" w:ascii="宋体" w:hAnsi="宋体"/>
          <w:sz w:val="24"/>
        </w:rPr>
      </w:pPr>
    </w:p>
    <w:p w14:paraId="10805C1E">
      <w:pPr>
        <w:numPr>
          <w:ilvl w:val="0"/>
          <w:numId w:val="6"/>
        </w:numPr>
        <w:adjustRightInd w:val="0"/>
        <w:snapToGrid w:val="0"/>
        <w:spacing w:line="360" w:lineRule="auto"/>
        <w:rPr>
          <w:rFonts w:hint="eastAsia" w:ascii="宋体" w:hAnsi="宋体"/>
          <w:sz w:val="24"/>
          <w:lang w:eastAsia="zh-CN"/>
        </w:rPr>
      </w:pPr>
      <w:r>
        <w:rPr>
          <w:rFonts w:hint="eastAsia" w:ascii="宋体" w:hAnsi="宋体"/>
          <w:sz w:val="24"/>
          <w:lang w:eastAsia="zh-CN"/>
        </w:rPr>
        <w:t>工程量清单</w:t>
      </w:r>
    </w:p>
    <w:tbl>
      <w:tblPr>
        <w:tblStyle w:val="9"/>
        <w:tblW w:w="6141" w:type="pct"/>
        <w:tblInd w:w="-94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2249"/>
        <w:gridCol w:w="5666"/>
        <w:gridCol w:w="643"/>
        <w:gridCol w:w="626"/>
        <w:gridCol w:w="580"/>
      </w:tblGrid>
      <w:tr w14:paraId="1FC3AF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018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E9A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16A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规格型号（所有设备、材料均标明品牌型号和材质）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6D2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DAD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4AA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 w14:paraId="0789A5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694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56A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改造临时处理系</w:t>
            </w:r>
            <w:r>
              <w:rPr>
                <w:rStyle w:val="24"/>
                <w:lang w:val="en-US" w:eastAsia="zh-CN" w:bidi="ar"/>
              </w:rPr>
              <w:t>统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5A2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含临时提升泵、混凝罐、沉淀罐、消毒罐、加药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  <w:r>
              <w:rPr>
                <w:rStyle w:val="24"/>
                <w:lang w:val="en-US" w:eastAsia="zh-CN" w:bidi="ar"/>
              </w:rPr>
              <w:t>系统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987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A73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549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F40EF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042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11C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接触氧化池清理</w:t>
            </w:r>
            <w:r>
              <w:rPr>
                <w:rStyle w:val="24"/>
                <w:lang w:val="en-US" w:eastAsia="zh-CN" w:bidi="ar"/>
              </w:rPr>
              <w:t>改造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015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083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A66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B33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E9130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715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20D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池内旧拆除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3DF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含内部所有设施拆除，填料曝气头支架等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FB3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0A5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587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5627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69B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02E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水池修补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0BC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含铲除重新修补等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2F3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009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5AC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B7005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B3C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D26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生化填料更换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F41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生物专用填料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5A8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809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37C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900BF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994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81C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曝气器更换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D84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215mm 盘式曝气盘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930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1EC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7B2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702E3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583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399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填料支架更换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33C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支架和横梁等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A5B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FFE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F96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B9950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23B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5FE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曝气管道系统更 换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98D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系统整体更换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3BD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7A0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311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4C61E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A58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220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沉淀池改造系统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96B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9E3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440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4A2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51682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677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99F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沉淀排泥系统新 增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24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D3C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D28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2B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597EC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7A2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DD0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沉淀池导流筒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EC2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F2A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E2F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F46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B175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F35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17D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沉淀池滗水器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260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411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8B4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F9D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FBB43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A3C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DD9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消毒系统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67B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90B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0BE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27B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FD2E3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AD2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5E3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消毒加药装置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72E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含搅拌机、计量泵、加药桶等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8DF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283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AC3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F036E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2FE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52C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排风扇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888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36C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1DA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C61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B8387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DB4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224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污泥处理系统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E83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468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BEE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071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A4F0D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DC9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97B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板框压泥机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914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M8-800mm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F43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9FA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272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3D2C3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7D6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765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絮凝加药装置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D21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 台搅拌机 0.75KW,1 台计量泵 100L/h，搅拌罐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6D2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4A2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9C5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CB349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9BE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7EC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污泥浓缩罐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3C1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5C2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624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A57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5709F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0AF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48A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机泵更换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174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C86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98A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978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2C8BC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F42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900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机械格栅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F63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材质不锈钢，渠宽 600m.渠深 3000mm，耙齿不锈 钢，功率 1.1kw，380V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891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009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D32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DF28A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6E9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FB5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进水泵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5DB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切割自耦潜污泵，流量 60m3，扬程 15 米，功率 4.0kw，380V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DA3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0DD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A5B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3375F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E63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2A7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出水泵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CC9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切割自耦潜污泵，流量 60m3，扬程 15 米，功率 4.0kw，380V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B04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986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4CF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03A9A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A92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906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二沉池污泥泵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3E8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切割自耦潜污泵，流量 10m3，扬程 15 米，功率 2.2kw，380V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A44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F27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5D9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3DF05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EB0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E18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压泥螺杆泵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3BC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卧式螺杆泵，流量 3m3，扬程 25 米，功率 1.1kw，380V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40C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060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923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D6E76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611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B92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应急提升泵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16D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切割自耦潜污泵，流量 60m3，扬程 15 米，功率 4.0kw，380V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D4C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0DC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56F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CBB73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385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49B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生化鼓风机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E8C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罗茨鼓风机 风量：10.4m3/min，风压 50kPa，功 率 11kw,380V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6FF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48A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1F2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01A02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DED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1BA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辅助鼓风机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9C3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罗茨鼓风机 风量：5.4m3/min，风压 50kPa，功 率 7.5kw,380V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3FF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B2E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FAF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0A40E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432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七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0CD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废气处理系统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096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标注品牌、材质，镀锌铁皮风管，内外均涂防腐材料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5A1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7A8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F96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1B0A7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012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C37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废气风机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8AA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玻璃钢离心风机，风量 3000m3/h,风压 2500Pa， 功率 3.0kw,380V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B6D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2BF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8E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971E7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057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284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UV 光解处理设备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CAF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不锈钢外壳，处理量 3000m3/h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801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E05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113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CAD4B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6F8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9D8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活性炭处理设备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670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不锈钢外壳，处理量 3000m3/h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029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B70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2A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0FE7E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4E1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F42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废气管道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832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DN250 埋地管道，排气口还是原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来位置，路面开挖布置新管道并修复，同时保障承压，不能断裂影响废气排放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965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米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0F9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DFE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9A3A4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D59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八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109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配电控制系统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CFA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由地下挪至地上，防潮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D2B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AAE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518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1D71E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6D9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4A8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污水处理电控柜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400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配电柜扩容更换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EB1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49A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12B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5817F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25D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010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PLC 柜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5D8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PLC 配电柜扩容更换，含控制系统软件及调试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E6B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183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098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08D83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690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2BF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出口流量计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F73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3AA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E28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E38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0B3E5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833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357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总余氯监测仪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A51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89A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D4F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A83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9709A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165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2A9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数据采集仪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89C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2A6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BFB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55D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20B81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4EE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EBD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PH 仪表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05B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5E3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4B3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64F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9D2C5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AD1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22A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液位仪表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38A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CBB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868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BBC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8B988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813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49D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电动阀门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C6D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275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F4D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039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009F2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05C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972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有害气体报警仪探头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D84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氧气、一氧化碳、硫化氢、可燃气体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FDC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F00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B5C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597D0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350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25D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有害气体报警仪主机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F61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控制探头和强排风扇，声光报警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17F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234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7D9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882B5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917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01F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强排风扇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26B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防爆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637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1E9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565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22423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7BA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389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清理改造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802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A69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7B2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1E7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71C21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58A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658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水池清理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103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调节池、氧化池、沉淀池、消毒池、污泥池抽吸 清洗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B22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1AC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DFF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1E063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CB7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A6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水池池底污泥压滤处理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DD2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压滤后交院方统一处理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A6F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45D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338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FA1A4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C84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174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废气管道土建施工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C07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AC0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31A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2DE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4B114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296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十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293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安装工程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208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15F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98A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8B3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0BEBF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3D8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D9A0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管道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89F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FAC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B1F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28A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222ED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106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BF8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阀门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B1C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C83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C07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B0B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EA596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D72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02D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电缆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97F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377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EF4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FE8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F9663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215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046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管道支架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DE0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F52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31D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191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03CE4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31D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465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辅材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BA0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463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452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B83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AE229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E90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9F7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安装费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047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含安装人工费、机械费、施工围挡、值班人员等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132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568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75B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EE8C7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4D5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B28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系统调试费</w:t>
            </w:r>
          </w:p>
        </w:tc>
        <w:tc>
          <w:tcPr>
            <w:tcW w:w="2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858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含菌种、药剂、调试费</w:t>
            </w:r>
          </w:p>
        </w:tc>
        <w:tc>
          <w:tcPr>
            <w:tcW w:w="3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779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858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E42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 w14:paraId="1DF5919A">
      <w:pPr>
        <w:numPr>
          <w:ilvl w:val="0"/>
          <w:numId w:val="0"/>
        </w:numPr>
        <w:adjustRightInd w:val="0"/>
        <w:snapToGrid w:val="0"/>
        <w:spacing w:line="360" w:lineRule="auto"/>
        <w:rPr>
          <w:rFonts w:hint="eastAsia" w:ascii="宋体" w:hAnsi="宋体"/>
          <w:sz w:val="24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8310556"/>
      <w:docPartObj>
        <w:docPartGallery w:val="autotext"/>
      </w:docPartObj>
    </w:sdtPr>
    <w:sdtContent>
      <w:p w14:paraId="6149B4DF"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 w14:paraId="55C25DDB"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5A159C"/>
    <w:multiLevelType w:val="multilevel"/>
    <w:tmpl w:val="9A5A159C"/>
    <w:lvl w:ilvl="0" w:tentative="0">
      <w:start w:val="1"/>
      <w:numFmt w:val="chineseCountingThousand"/>
      <w:lvlText w:val="(%1)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C1DA323E"/>
    <w:multiLevelType w:val="singleLevel"/>
    <w:tmpl w:val="C1DA323E"/>
    <w:lvl w:ilvl="0" w:tentative="0">
      <w:start w:val="5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E58F83FA"/>
    <w:multiLevelType w:val="multilevel"/>
    <w:tmpl w:val="E58F83F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">
    <w:nsid w:val="FEC29319"/>
    <w:multiLevelType w:val="singleLevel"/>
    <w:tmpl w:val="FEC29319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6C1CD2F3"/>
    <w:multiLevelType w:val="singleLevel"/>
    <w:tmpl w:val="6C1CD2F3"/>
    <w:lvl w:ilvl="0" w:tentative="0">
      <w:start w:val="2"/>
      <w:numFmt w:val="decimal"/>
      <w:pStyle w:val="7"/>
      <w:suff w:val="nothing"/>
      <w:lvlText w:val="（%1）"/>
      <w:lvlJc w:val="left"/>
      <w:rPr>
        <w:rFonts w:hint="default"/>
        <w:sz w:val="20"/>
        <w:szCs w:val="20"/>
      </w:rPr>
    </w:lvl>
  </w:abstractNum>
  <w:abstractNum w:abstractNumId="5">
    <w:nsid w:val="7CB444B1"/>
    <w:multiLevelType w:val="multilevel"/>
    <w:tmpl w:val="7CB444B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xNTM5OGM5OGRkOTU1ZmQ3ZjkyMjFjNTNhNzI3Y2QifQ=="/>
  </w:docVars>
  <w:rsids>
    <w:rsidRoot w:val="00644CBC"/>
    <w:rsid w:val="00201FD0"/>
    <w:rsid w:val="00302714"/>
    <w:rsid w:val="00307192"/>
    <w:rsid w:val="003E4FC5"/>
    <w:rsid w:val="00425EE0"/>
    <w:rsid w:val="004579C8"/>
    <w:rsid w:val="00495874"/>
    <w:rsid w:val="004B500E"/>
    <w:rsid w:val="00585C49"/>
    <w:rsid w:val="005F6A8E"/>
    <w:rsid w:val="00644CBC"/>
    <w:rsid w:val="006A147A"/>
    <w:rsid w:val="00745983"/>
    <w:rsid w:val="0082215D"/>
    <w:rsid w:val="0089608E"/>
    <w:rsid w:val="00B91A22"/>
    <w:rsid w:val="00BD0E82"/>
    <w:rsid w:val="00C12315"/>
    <w:rsid w:val="00CC3E8F"/>
    <w:rsid w:val="00CE2856"/>
    <w:rsid w:val="00E0206F"/>
    <w:rsid w:val="00E10B41"/>
    <w:rsid w:val="00F343E8"/>
    <w:rsid w:val="00F80930"/>
    <w:rsid w:val="00F83B16"/>
    <w:rsid w:val="00FC04CB"/>
    <w:rsid w:val="02FB78D9"/>
    <w:rsid w:val="07625142"/>
    <w:rsid w:val="0AF5356A"/>
    <w:rsid w:val="0CF46D49"/>
    <w:rsid w:val="0DFC36AD"/>
    <w:rsid w:val="198F4EE7"/>
    <w:rsid w:val="1A862C7C"/>
    <w:rsid w:val="29424212"/>
    <w:rsid w:val="2A8D3BB3"/>
    <w:rsid w:val="2AE65071"/>
    <w:rsid w:val="2D14573F"/>
    <w:rsid w:val="2FE1152C"/>
    <w:rsid w:val="379320DC"/>
    <w:rsid w:val="39096AFA"/>
    <w:rsid w:val="3C017F5D"/>
    <w:rsid w:val="496418BA"/>
    <w:rsid w:val="4F9A56DC"/>
    <w:rsid w:val="52882E3A"/>
    <w:rsid w:val="5D003BC4"/>
    <w:rsid w:val="6CBE10EF"/>
    <w:rsid w:val="7F1C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autoRedefine/>
    <w:qFormat/>
    <w:uiPriority w:val="0"/>
    <w:pPr>
      <w:jc w:val="left"/>
    </w:pPr>
    <w:rPr>
      <w:rFonts w:ascii="Times New Roman" w:hAnsi="Times New Roman" w:eastAsia="宋体" w:cs="Times New Roman"/>
    </w:r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Balloon Text"/>
    <w:basedOn w:val="1"/>
    <w:link w:val="20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2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qFormat/>
    <w:uiPriority w:val="0"/>
    <w:pPr>
      <w:widowControl/>
      <w:numPr>
        <w:ilvl w:val="0"/>
        <w:numId w:val="1"/>
      </w:numPr>
      <w:adjustRightInd w:val="0"/>
      <w:snapToGrid w:val="0"/>
      <w:spacing w:line="360" w:lineRule="auto"/>
      <w:jc w:val="left"/>
    </w:pPr>
    <w:rPr>
      <w:rFonts w:ascii="宋体" w:hAnsi="宋体" w:eastAsia="宋体" w:cs="宋体"/>
      <w:kern w:val="0"/>
      <w:sz w:val="24"/>
    </w:rPr>
  </w:style>
  <w:style w:type="paragraph" w:styleId="8">
    <w:name w:val="Title"/>
    <w:basedOn w:val="1"/>
    <w:next w:val="1"/>
    <w:link w:val="12"/>
    <w:autoRedefine/>
    <w:qFormat/>
    <w:uiPriority w:val="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kern w:val="0"/>
      <w:sz w:val="32"/>
      <w:szCs w:val="32"/>
    </w:rPr>
  </w:style>
  <w:style w:type="character" w:styleId="11">
    <w:name w:val="annotation reference"/>
    <w:basedOn w:val="10"/>
    <w:autoRedefine/>
    <w:qFormat/>
    <w:uiPriority w:val="0"/>
    <w:rPr>
      <w:sz w:val="21"/>
      <w:szCs w:val="21"/>
    </w:rPr>
  </w:style>
  <w:style w:type="character" w:customStyle="1" w:styleId="12">
    <w:name w:val="标题 Char"/>
    <w:basedOn w:val="10"/>
    <w:link w:val="8"/>
    <w:qFormat/>
    <w:uiPriority w:val="0"/>
    <w:rPr>
      <w:rFonts w:ascii="Cambria" w:hAnsi="Cambria" w:eastAsia="宋体" w:cs="Times New Roman"/>
      <w:b/>
      <w:bCs/>
      <w:kern w:val="0"/>
      <w:sz w:val="32"/>
      <w:szCs w:val="32"/>
    </w:rPr>
  </w:style>
  <w:style w:type="character" w:customStyle="1" w:styleId="13">
    <w:name w:val="批注文字 Char"/>
    <w:basedOn w:val="10"/>
    <w:autoRedefine/>
    <w:semiHidden/>
    <w:qFormat/>
    <w:uiPriority w:val="99"/>
    <w:rPr>
      <w:szCs w:val="24"/>
    </w:rPr>
  </w:style>
  <w:style w:type="character" w:customStyle="1" w:styleId="14">
    <w:name w:val="批注文字 Char1"/>
    <w:basedOn w:val="10"/>
    <w:link w:val="2"/>
    <w:autoRedefine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15">
    <w:name w:val="font11"/>
    <w:basedOn w:val="10"/>
    <w:autoRedefine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6">
    <w:name w:val="font41"/>
    <w:basedOn w:val="10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7">
    <w:name w:val="font51"/>
    <w:basedOn w:val="10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8">
    <w:name w:val="font81"/>
    <w:basedOn w:val="10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9">
    <w:name w:val="font31"/>
    <w:basedOn w:val="10"/>
    <w:autoRedefine/>
    <w:qFormat/>
    <w:uiPriority w:val="0"/>
    <w:rPr>
      <w:rFonts w:hint="default" w:ascii="Calibri" w:hAnsi="Calibri" w:cs="Calibri"/>
      <w:color w:val="000000"/>
      <w:sz w:val="24"/>
      <w:szCs w:val="24"/>
      <w:u w:val="none"/>
    </w:rPr>
  </w:style>
  <w:style w:type="character" w:customStyle="1" w:styleId="20">
    <w:name w:val="批注框文本 Char"/>
    <w:basedOn w:val="10"/>
    <w:link w:val="4"/>
    <w:autoRedefine/>
    <w:semiHidden/>
    <w:qFormat/>
    <w:uiPriority w:val="99"/>
    <w:rPr>
      <w:sz w:val="18"/>
      <w:szCs w:val="18"/>
    </w:rPr>
  </w:style>
  <w:style w:type="character" w:customStyle="1" w:styleId="21">
    <w:name w:val="页眉 Char"/>
    <w:basedOn w:val="10"/>
    <w:link w:val="6"/>
    <w:autoRedefine/>
    <w:qFormat/>
    <w:uiPriority w:val="99"/>
    <w:rPr>
      <w:sz w:val="18"/>
      <w:szCs w:val="18"/>
    </w:rPr>
  </w:style>
  <w:style w:type="character" w:customStyle="1" w:styleId="22">
    <w:name w:val="页脚 Char"/>
    <w:basedOn w:val="10"/>
    <w:link w:val="5"/>
    <w:autoRedefine/>
    <w:qFormat/>
    <w:uiPriority w:val="99"/>
    <w:rPr>
      <w:sz w:val="18"/>
      <w:szCs w:val="18"/>
    </w:rPr>
  </w:style>
  <w:style w:type="table" w:customStyle="1" w:styleId="2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4">
    <w:name w:val="font21"/>
    <w:basedOn w:val="10"/>
    <w:qFormat/>
    <w:uiPriority w:val="0"/>
    <w:rPr>
      <w:rFonts w:hint="eastAsia" w:ascii="微软雅黑" w:hAnsi="微软雅黑" w:eastAsia="微软雅黑" w:cs="微软雅黑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2436</Words>
  <Characters>2599</Characters>
  <Lines>23</Lines>
  <Paragraphs>6</Paragraphs>
  <TotalTime>5</TotalTime>
  <ScaleCrop>false</ScaleCrop>
  <LinksUpToDate>false</LinksUpToDate>
  <CharactersWithSpaces>2611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2024-01-11T01:12:00Z</dcterms:created>
  <dc:creator>111</dc:creator>
  <cp:lastModifiedBy>Odile</cp:lastModifiedBy>
  <dcterms:modified xsi:type="dcterms:W3CDTF">2025-09-09T07:25:35Z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E555EC0DACA944B3B550B203115A152D_12</vt:lpwstr>
  </property>
  <property fmtid="{D5CDD505-2E9C-101B-9397-08002B2CF9AE}" pid="4" name="KSOTemplateDocerSaveRecord">
    <vt:lpwstr>eyJoZGlkIjoiYTAwNjRhMDdkNDU2MDUyM2E2ZjQ1ZmMzYTQzMDI4NzciLCJ1c2VySWQiOiI3NzQxMDM0MTgifQ==</vt:lpwstr>
  </property>
</Properties>
</file>