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FD892" w14:textId="77777777" w:rsidR="007D15F9" w:rsidRDefault="003B0323">
      <w:pPr>
        <w:spacing w:line="360" w:lineRule="auto"/>
        <w:rPr>
          <w:rFonts w:ascii="仿宋_GB2312" w:eastAsia="仿宋_GB2312"/>
          <w:b/>
          <w:sz w:val="24"/>
          <w:szCs w:val="28"/>
        </w:rPr>
      </w:pPr>
      <w:bookmarkStart w:id="0" w:name="_Hlk106454977"/>
      <w:r>
        <w:rPr>
          <w:rFonts w:ascii="仿宋_GB2312" w:eastAsia="仿宋_GB2312" w:hint="eastAsia"/>
          <w:b/>
          <w:sz w:val="24"/>
          <w:szCs w:val="28"/>
        </w:rPr>
        <w:t>需求参数确认清单：</w:t>
      </w:r>
      <w:r>
        <w:rPr>
          <w:rFonts w:ascii="仿宋_GB2312" w:eastAsia="仿宋_GB2312" w:hint="eastAsia"/>
          <w:b/>
          <w:sz w:val="24"/>
          <w:szCs w:val="28"/>
        </w:rPr>
        <w:t xml:space="preserve"> </w:t>
      </w:r>
      <w:bookmarkStart w:id="1" w:name="_Hlk106453548"/>
      <w:r>
        <w:rPr>
          <w:rFonts w:ascii="仿宋_GB2312" w:eastAsia="仿宋_GB2312" w:hint="eastAsia"/>
          <w:sz w:val="20"/>
          <w:szCs w:val="28"/>
        </w:rPr>
        <w:t>（以下指标</w:t>
      </w:r>
      <w:r>
        <w:rPr>
          <w:rFonts w:ascii="仿宋_GB2312" w:eastAsia="仿宋_GB2312" w:hint="eastAsia"/>
          <w:b/>
          <w:color w:val="FF0000"/>
          <w:sz w:val="20"/>
          <w:szCs w:val="28"/>
        </w:rPr>
        <w:t>满足请填</w:t>
      </w:r>
      <w:r>
        <w:rPr>
          <w:rFonts w:ascii="等线" w:eastAsia="等线" w:hAnsi="等线" w:hint="eastAsia"/>
          <w:b/>
          <w:color w:val="FF0000"/>
          <w:sz w:val="20"/>
          <w:szCs w:val="28"/>
        </w:rPr>
        <w:t>√</w:t>
      </w:r>
      <w:r>
        <w:rPr>
          <w:rFonts w:ascii="仿宋_GB2312" w:eastAsia="仿宋_GB2312" w:hint="eastAsia"/>
          <w:b/>
          <w:color w:val="FF0000"/>
          <w:sz w:val="20"/>
          <w:szCs w:val="28"/>
        </w:rPr>
        <w:t>，不满足请填</w:t>
      </w:r>
      <w:r>
        <w:rPr>
          <w:rFonts w:ascii="等线" w:eastAsia="等线" w:hAnsi="等线" w:hint="eastAsia"/>
          <w:b/>
          <w:color w:val="FF0000"/>
          <w:sz w:val="20"/>
          <w:szCs w:val="28"/>
        </w:rPr>
        <w:t>◊</w:t>
      </w:r>
      <w:r>
        <w:rPr>
          <w:rFonts w:ascii="仿宋_GB2312" w:eastAsia="仿宋_GB2312" w:hint="eastAsia"/>
          <w:sz w:val="20"/>
          <w:szCs w:val="28"/>
        </w:rPr>
        <w:t>。指标按重要性分为“★”、“☆”、“</w:t>
      </w:r>
      <w:r>
        <w:rPr>
          <w:rFonts w:ascii="仿宋_GB2312" w:eastAsia="仿宋_GB2312" w:hint="eastAsia"/>
          <w:sz w:val="20"/>
          <w:szCs w:val="28"/>
        </w:rPr>
        <w:t>#</w:t>
      </w:r>
      <w:r>
        <w:rPr>
          <w:rFonts w:ascii="仿宋_GB2312" w:eastAsia="仿宋_GB2312" w:hint="eastAsia"/>
          <w:sz w:val="20"/>
          <w:szCs w:val="28"/>
        </w:rPr>
        <w:t>”和“△”。★代表实质性指标，不满足该指标项将导致投标被拒绝，☆代表优质优价指标，</w:t>
      </w:r>
      <w:r>
        <w:rPr>
          <w:rFonts w:ascii="仿宋_GB2312" w:eastAsia="仿宋_GB2312" w:hint="eastAsia"/>
          <w:sz w:val="20"/>
          <w:szCs w:val="28"/>
        </w:rPr>
        <w:t>#</w:t>
      </w:r>
      <w:r>
        <w:rPr>
          <w:rFonts w:ascii="仿宋_GB2312" w:eastAsia="仿宋_GB2312" w:hint="eastAsia"/>
          <w:sz w:val="20"/>
          <w:szCs w:val="28"/>
        </w:rPr>
        <w:t>代表重要指标，△则表示一般指标项。）</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2417"/>
        <w:gridCol w:w="7695"/>
        <w:gridCol w:w="1099"/>
        <w:gridCol w:w="1308"/>
        <w:gridCol w:w="1308"/>
      </w:tblGrid>
      <w:tr w:rsidR="007D15F9" w14:paraId="1DF9DAD5" w14:textId="77777777">
        <w:trPr>
          <w:trHeight w:val="498"/>
        </w:trPr>
        <w:tc>
          <w:tcPr>
            <w:tcW w:w="572" w:type="pct"/>
            <w:shd w:val="clear" w:color="auto" w:fill="auto"/>
            <w:vAlign w:val="center"/>
          </w:tcPr>
          <w:bookmarkEnd w:id="0"/>
          <w:p w14:paraId="6916ABC7" w14:textId="77777777" w:rsidR="007D15F9" w:rsidRDefault="003B032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w:t>
            </w:r>
          </w:p>
        </w:tc>
        <w:tc>
          <w:tcPr>
            <w:tcW w:w="774" w:type="pct"/>
            <w:shd w:val="clear" w:color="auto" w:fill="auto"/>
            <w:vAlign w:val="center"/>
          </w:tcPr>
          <w:p w14:paraId="25C8D8D9" w14:textId="77777777" w:rsidR="007D15F9" w:rsidRDefault="003B032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需求指标</w:t>
            </w:r>
          </w:p>
        </w:tc>
        <w:tc>
          <w:tcPr>
            <w:tcW w:w="2464" w:type="pct"/>
            <w:shd w:val="clear" w:color="auto" w:fill="auto"/>
            <w:vAlign w:val="center"/>
          </w:tcPr>
          <w:p w14:paraId="2533B15C" w14:textId="77777777" w:rsidR="007D15F9" w:rsidRDefault="003B032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参数范围</w:t>
            </w:r>
          </w:p>
        </w:tc>
        <w:tc>
          <w:tcPr>
            <w:tcW w:w="352" w:type="pct"/>
            <w:shd w:val="clear" w:color="auto" w:fill="auto"/>
            <w:vAlign w:val="center"/>
          </w:tcPr>
          <w:p w14:paraId="4B27D68F" w14:textId="77777777" w:rsidR="007D15F9" w:rsidRDefault="003B032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指标重要性</w:t>
            </w:r>
          </w:p>
        </w:tc>
        <w:tc>
          <w:tcPr>
            <w:tcW w:w="419" w:type="pct"/>
            <w:shd w:val="clear" w:color="auto" w:fill="auto"/>
            <w:vAlign w:val="center"/>
          </w:tcPr>
          <w:p w14:paraId="525F185F" w14:textId="77777777" w:rsidR="007D15F9" w:rsidRDefault="003B0323">
            <w:pPr>
              <w:widowControl/>
              <w:jc w:val="center"/>
              <w:rPr>
                <w:rFonts w:ascii="宋体" w:eastAsia="宋体" w:hAnsi="宋体" w:cs="宋体"/>
                <w:color w:val="000000"/>
                <w:kern w:val="0"/>
                <w:szCs w:val="21"/>
              </w:rPr>
            </w:pPr>
            <w:r>
              <w:rPr>
                <w:rFonts w:ascii="宋体" w:eastAsia="宋体" w:hAnsi="宋体" w:cs="宋体"/>
                <w:color w:val="000000"/>
                <w:kern w:val="0"/>
                <w:szCs w:val="21"/>
              </w:rPr>
              <w:t>是否符合</w:t>
            </w:r>
          </w:p>
        </w:tc>
        <w:tc>
          <w:tcPr>
            <w:tcW w:w="419" w:type="pct"/>
            <w:shd w:val="clear" w:color="auto" w:fill="auto"/>
            <w:vAlign w:val="center"/>
          </w:tcPr>
          <w:p w14:paraId="2536C7FC" w14:textId="77777777" w:rsidR="007D15F9" w:rsidRDefault="003B0323">
            <w:pPr>
              <w:widowControl/>
              <w:jc w:val="center"/>
              <w:rPr>
                <w:rFonts w:ascii="宋体" w:eastAsia="宋体" w:hAnsi="宋体" w:cs="宋体"/>
                <w:color w:val="000000"/>
                <w:kern w:val="0"/>
                <w:szCs w:val="21"/>
              </w:rPr>
            </w:pPr>
            <w:r>
              <w:rPr>
                <w:rFonts w:ascii="宋体" w:eastAsia="宋体" w:hAnsi="宋体" w:cs="宋体"/>
                <w:color w:val="000000"/>
                <w:kern w:val="0"/>
                <w:szCs w:val="21"/>
              </w:rPr>
              <w:t>材料备注页</w:t>
            </w:r>
          </w:p>
        </w:tc>
      </w:tr>
      <w:tr w:rsidR="007D15F9" w14:paraId="5AC7478D" w14:textId="77777777">
        <w:trPr>
          <w:trHeight w:val="576"/>
        </w:trPr>
        <w:tc>
          <w:tcPr>
            <w:tcW w:w="572" w:type="pct"/>
            <w:vMerge w:val="restart"/>
            <w:vAlign w:val="center"/>
          </w:tcPr>
          <w:p w14:paraId="05D47465" w14:textId="77777777" w:rsidR="007D15F9" w:rsidRDefault="003B032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技术参数</w:t>
            </w:r>
          </w:p>
        </w:tc>
        <w:tc>
          <w:tcPr>
            <w:tcW w:w="774" w:type="pct"/>
            <w:shd w:val="clear" w:color="auto" w:fill="auto"/>
            <w:vAlign w:val="center"/>
          </w:tcPr>
          <w:p w14:paraId="4281FAC4" w14:textId="77777777" w:rsidR="007D15F9" w:rsidRDefault="003B0323">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服务</w:t>
            </w:r>
            <w:r>
              <w:rPr>
                <w:rFonts w:ascii="宋体" w:eastAsia="宋体" w:hAnsi="宋体" w:cs="宋体"/>
                <w:color w:val="000000"/>
                <w:kern w:val="0"/>
                <w:szCs w:val="21"/>
              </w:rPr>
              <w:t>方案</w:t>
            </w:r>
          </w:p>
        </w:tc>
        <w:tc>
          <w:tcPr>
            <w:tcW w:w="2464" w:type="pct"/>
            <w:shd w:val="clear" w:color="auto" w:fill="auto"/>
            <w:vAlign w:val="center"/>
          </w:tcPr>
          <w:p w14:paraId="0F7E1443" w14:textId="77777777" w:rsidR="007D15F9" w:rsidRDefault="003B0323">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投标人需提供完整的项目进度安排、实施深化方案以及合理化建设意见等</w:t>
            </w:r>
            <w:r>
              <w:rPr>
                <w:rFonts w:ascii="宋体" w:eastAsia="宋体" w:hAnsi="宋体" w:cs="宋体" w:hint="eastAsia"/>
                <w:color w:val="000000"/>
                <w:kern w:val="0"/>
                <w:szCs w:val="21"/>
              </w:rPr>
              <w:t>，</w:t>
            </w:r>
            <w:r>
              <w:rPr>
                <w:rFonts w:ascii="宋体" w:eastAsia="宋体" w:hAnsi="宋体" w:cs="宋体" w:hint="eastAsia"/>
                <w:color w:val="000000"/>
                <w:kern w:val="0"/>
                <w:szCs w:val="21"/>
              </w:rPr>
              <w:t>包括施工方案、临</w:t>
            </w:r>
            <w:proofErr w:type="gramStart"/>
            <w:r>
              <w:rPr>
                <w:rFonts w:ascii="宋体" w:eastAsia="宋体" w:hAnsi="宋体" w:cs="宋体" w:hint="eastAsia"/>
                <w:color w:val="000000"/>
                <w:kern w:val="0"/>
                <w:szCs w:val="21"/>
              </w:rPr>
              <w:t>措</w:t>
            </w:r>
            <w:proofErr w:type="gramEnd"/>
            <w:r>
              <w:rPr>
                <w:rFonts w:ascii="宋体" w:eastAsia="宋体" w:hAnsi="宋体" w:cs="宋体" w:hint="eastAsia"/>
                <w:color w:val="000000"/>
                <w:kern w:val="0"/>
                <w:szCs w:val="21"/>
              </w:rPr>
              <w:t>方案、保障方案</w:t>
            </w:r>
            <w:r>
              <w:rPr>
                <w:rFonts w:ascii="宋体" w:eastAsia="宋体" w:cs="宋体" w:hint="eastAsia"/>
              </w:rPr>
              <w:t>。</w:t>
            </w:r>
          </w:p>
        </w:tc>
        <w:tc>
          <w:tcPr>
            <w:tcW w:w="352" w:type="pct"/>
            <w:shd w:val="clear" w:color="auto" w:fill="auto"/>
            <w:vAlign w:val="center"/>
          </w:tcPr>
          <w:p w14:paraId="72DC06C2" w14:textId="77777777" w:rsidR="007D15F9" w:rsidRDefault="003B0323">
            <w:pPr>
              <w:widowControl/>
              <w:jc w:val="center"/>
              <w:rPr>
                <w:rFonts w:ascii="宋体" w:eastAsia="宋体" w:hAnsi="宋体" w:cs="宋体"/>
                <w:color w:val="000000"/>
                <w:kern w:val="0"/>
                <w:szCs w:val="21"/>
              </w:rPr>
            </w:pPr>
            <w:r>
              <w:rPr>
                <w:rFonts w:ascii="仿宋_GB2312" w:eastAsia="仿宋_GB2312" w:hint="eastAsia"/>
                <w:sz w:val="20"/>
                <w:szCs w:val="28"/>
              </w:rPr>
              <w:t>★</w:t>
            </w:r>
          </w:p>
        </w:tc>
        <w:tc>
          <w:tcPr>
            <w:tcW w:w="419" w:type="pct"/>
            <w:shd w:val="clear" w:color="auto" w:fill="auto"/>
            <w:vAlign w:val="center"/>
          </w:tcPr>
          <w:p w14:paraId="7DFC380F" w14:textId="77777777" w:rsidR="007D15F9" w:rsidRDefault="007D15F9">
            <w:pPr>
              <w:widowControl/>
              <w:jc w:val="left"/>
              <w:rPr>
                <w:rFonts w:ascii="宋体" w:eastAsia="宋体" w:hAnsi="宋体" w:cs="宋体"/>
                <w:color w:val="000000"/>
                <w:kern w:val="0"/>
                <w:szCs w:val="21"/>
              </w:rPr>
            </w:pPr>
          </w:p>
        </w:tc>
        <w:tc>
          <w:tcPr>
            <w:tcW w:w="419" w:type="pct"/>
            <w:shd w:val="clear" w:color="auto" w:fill="auto"/>
            <w:vAlign w:val="center"/>
          </w:tcPr>
          <w:p w14:paraId="4FFF93C1" w14:textId="77777777" w:rsidR="007D15F9" w:rsidRDefault="007D15F9">
            <w:pPr>
              <w:widowControl/>
              <w:jc w:val="left"/>
              <w:rPr>
                <w:rFonts w:ascii="宋体" w:eastAsia="宋体" w:hAnsi="宋体" w:cs="宋体"/>
                <w:color w:val="000000"/>
                <w:kern w:val="0"/>
                <w:szCs w:val="21"/>
              </w:rPr>
            </w:pPr>
          </w:p>
        </w:tc>
      </w:tr>
      <w:tr w:rsidR="007D15F9" w14:paraId="6301BB7D" w14:textId="77777777">
        <w:trPr>
          <w:trHeight w:val="566"/>
        </w:trPr>
        <w:tc>
          <w:tcPr>
            <w:tcW w:w="572" w:type="pct"/>
            <w:vMerge/>
            <w:vAlign w:val="center"/>
          </w:tcPr>
          <w:p w14:paraId="2A10C936" w14:textId="77777777" w:rsidR="007D15F9" w:rsidRDefault="007D15F9">
            <w:pPr>
              <w:widowControl/>
              <w:jc w:val="left"/>
              <w:rPr>
                <w:rFonts w:ascii="宋体" w:eastAsia="宋体" w:hAnsi="宋体" w:cs="宋体"/>
                <w:color w:val="000000"/>
                <w:kern w:val="0"/>
                <w:szCs w:val="21"/>
              </w:rPr>
            </w:pPr>
          </w:p>
        </w:tc>
        <w:tc>
          <w:tcPr>
            <w:tcW w:w="774" w:type="pct"/>
            <w:shd w:val="clear" w:color="auto" w:fill="auto"/>
            <w:vAlign w:val="center"/>
          </w:tcPr>
          <w:p w14:paraId="6103E00D" w14:textId="77777777" w:rsidR="007D15F9" w:rsidRDefault="003B0323">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人员</w:t>
            </w:r>
            <w:r>
              <w:rPr>
                <w:rFonts w:ascii="宋体" w:eastAsia="宋体" w:hAnsi="宋体" w:cs="宋体"/>
                <w:color w:val="000000"/>
                <w:kern w:val="0"/>
                <w:szCs w:val="21"/>
              </w:rPr>
              <w:t>配置</w:t>
            </w:r>
          </w:p>
        </w:tc>
        <w:tc>
          <w:tcPr>
            <w:tcW w:w="2464" w:type="pct"/>
            <w:shd w:val="clear" w:color="auto" w:fill="auto"/>
            <w:vAlign w:val="center"/>
          </w:tcPr>
          <w:p w14:paraId="6CB73ED7" w14:textId="77777777" w:rsidR="007D15F9" w:rsidRDefault="003B0323">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投标人所提供的团队人员、经验、学历、业务能力等具有相关性、专业性、丰富性，提供了完善、明确的劳务关系、学历、执业资格、岗位证书等的，有完善的人员管理措施</w:t>
            </w:r>
          </w:p>
        </w:tc>
        <w:tc>
          <w:tcPr>
            <w:tcW w:w="352" w:type="pct"/>
            <w:shd w:val="clear" w:color="auto" w:fill="auto"/>
            <w:vAlign w:val="center"/>
          </w:tcPr>
          <w:p w14:paraId="4CF2C26E" w14:textId="77777777" w:rsidR="007D15F9" w:rsidRDefault="003B0323">
            <w:pPr>
              <w:widowControl/>
              <w:jc w:val="center"/>
              <w:rPr>
                <w:rFonts w:ascii="宋体" w:eastAsia="宋体" w:hAnsi="宋体" w:cs="宋体"/>
                <w:color w:val="000000"/>
                <w:kern w:val="0"/>
                <w:szCs w:val="21"/>
              </w:rPr>
            </w:pPr>
            <w:r>
              <w:rPr>
                <w:rFonts w:ascii="仿宋_GB2312" w:eastAsia="仿宋_GB2312" w:hint="eastAsia"/>
                <w:sz w:val="20"/>
                <w:szCs w:val="28"/>
              </w:rPr>
              <w:t>☆</w:t>
            </w:r>
          </w:p>
        </w:tc>
        <w:tc>
          <w:tcPr>
            <w:tcW w:w="419" w:type="pct"/>
            <w:shd w:val="clear" w:color="auto" w:fill="auto"/>
            <w:vAlign w:val="center"/>
          </w:tcPr>
          <w:p w14:paraId="1819C743" w14:textId="77777777" w:rsidR="007D15F9" w:rsidRDefault="007D15F9">
            <w:pPr>
              <w:widowControl/>
              <w:jc w:val="left"/>
              <w:rPr>
                <w:rFonts w:ascii="宋体" w:eastAsia="宋体" w:hAnsi="宋体" w:cs="宋体"/>
                <w:color w:val="000000"/>
                <w:kern w:val="0"/>
                <w:szCs w:val="21"/>
              </w:rPr>
            </w:pPr>
          </w:p>
        </w:tc>
        <w:tc>
          <w:tcPr>
            <w:tcW w:w="419" w:type="pct"/>
            <w:shd w:val="clear" w:color="auto" w:fill="auto"/>
            <w:vAlign w:val="center"/>
          </w:tcPr>
          <w:p w14:paraId="2FFE0BE4" w14:textId="77777777" w:rsidR="007D15F9" w:rsidRDefault="007D15F9">
            <w:pPr>
              <w:widowControl/>
              <w:jc w:val="left"/>
              <w:rPr>
                <w:rFonts w:ascii="宋体" w:eastAsia="宋体" w:hAnsi="宋体" w:cs="宋体"/>
                <w:color w:val="000000"/>
                <w:kern w:val="0"/>
                <w:szCs w:val="21"/>
              </w:rPr>
            </w:pPr>
          </w:p>
        </w:tc>
      </w:tr>
      <w:tr w:rsidR="007D15F9" w14:paraId="2EF13A25" w14:textId="77777777">
        <w:trPr>
          <w:trHeight w:val="566"/>
        </w:trPr>
        <w:tc>
          <w:tcPr>
            <w:tcW w:w="572" w:type="pct"/>
            <w:vMerge/>
            <w:vAlign w:val="center"/>
          </w:tcPr>
          <w:p w14:paraId="512F4580" w14:textId="77777777" w:rsidR="007D15F9" w:rsidRDefault="007D15F9">
            <w:pPr>
              <w:widowControl/>
              <w:jc w:val="left"/>
              <w:rPr>
                <w:rFonts w:ascii="宋体" w:eastAsia="宋体" w:hAnsi="宋体" w:cs="宋体"/>
                <w:color w:val="000000"/>
                <w:kern w:val="0"/>
                <w:szCs w:val="21"/>
              </w:rPr>
            </w:pPr>
          </w:p>
        </w:tc>
        <w:tc>
          <w:tcPr>
            <w:tcW w:w="774" w:type="pct"/>
            <w:shd w:val="clear" w:color="auto" w:fill="auto"/>
            <w:vAlign w:val="center"/>
          </w:tcPr>
          <w:p w14:paraId="1D8A1A77" w14:textId="77777777" w:rsidR="007D15F9" w:rsidRDefault="003B0323">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售后服务方案</w:t>
            </w:r>
          </w:p>
        </w:tc>
        <w:tc>
          <w:tcPr>
            <w:tcW w:w="2464" w:type="pct"/>
            <w:shd w:val="clear" w:color="auto" w:fill="auto"/>
            <w:vAlign w:val="center"/>
          </w:tcPr>
          <w:p w14:paraId="56260E56" w14:textId="77777777" w:rsidR="007D15F9" w:rsidRDefault="003B0323">
            <w:pPr>
              <w:widowControl/>
              <w:jc w:val="left"/>
              <w:rPr>
                <w:rFonts w:ascii="宋体" w:hAnsi="宋体" w:cs="宋体"/>
                <w:color w:val="000000"/>
                <w:kern w:val="0"/>
                <w:szCs w:val="21"/>
              </w:rPr>
            </w:pPr>
            <w:r>
              <w:rPr>
                <w:rFonts w:hint="eastAsia"/>
              </w:rPr>
              <w:t>投标人提供完整的售后服务方案，包括但不限于售后服务内容及服务方式、故障解决</w:t>
            </w:r>
            <w:r>
              <w:rPr>
                <w:rFonts w:hint="eastAsia"/>
              </w:rPr>
              <w:t>/</w:t>
            </w:r>
            <w:r>
              <w:rPr>
                <w:rFonts w:hint="eastAsia"/>
              </w:rPr>
              <w:t>应急抢修方案、售后服务机构情况、培训方案等</w:t>
            </w:r>
            <w:r>
              <w:rPr>
                <w:rFonts w:hint="eastAsia"/>
              </w:rPr>
              <w:t>。</w:t>
            </w:r>
          </w:p>
        </w:tc>
        <w:tc>
          <w:tcPr>
            <w:tcW w:w="352" w:type="pct"/>
            <w:shd w:val="clear" w:color="auto" w:fill="auto"/>
            <w:vAlign w:val="center"/>
          </w:tcPr>
          <w:p w14:paraId="0D00E18C" w14:textId="77777777" w:rsidR="007D15F9" w:rsidRDefault="003B0323">
            <w:pPr>
              <w:widowControl/>
              <w:jc w:val="center"/>
              <w:rPr>
                <w:rFonts w:ascii="仿宋_GB2312" w:eastAsia="仿宋_GB2312"/>
                <w:sz w:val="20"/>
                <w:szCs w:val="28"/>
              </w:rPr>
            </w:pPr>
            <w:r>
              <w:rPr>
                <w:rFonts w:ascii="仿宋_GB2312" w:eastAsia="仿宋_GB2312" w:hint="eastAsia"/>
                <w:sz w:val="20"/>
                <w:szCs w:val="28"/>
              </w:rPr>
              <w:t>☆</w:t>
            </w:r>
          </w:p>
        </w:tc>
        <w:tc>
          <w:tcPr>
            <w:tcW w:w="419" w:type="pct"/>
            <w:shd w:val="clear" w:color="auto" w:fill="auto"/>
            <w:vAlign w:val="center"/>
          </w:tcPr>
          <w:p w14:paraId="75D96557" w14:textId="77777777" w:rsidR="007D15F9" w:rsidRDefault="007D15F9">
            <w:pPr>
              <w:widowControl/>
              <w:jc w:val="left"/>
              <w:rPr>
                <w:rFonts w:ascii="宋体" w:eastAsia="宋体" w:hAnsi="宋体" w:cs="宋体"/>
                <w:color w:val="000000"/>
                <w:kern w:val="0"/>
                <w:szCs w:val="21"/>
              </w:rPr>
            </w:pPr>
          </w:p>
        </w:tc>
        <w:tc>
          <w:tcPr>
            <w:tcW w:w="419" w:type="pct"/>
            <w:shd w:val="clear" w:color="auto" w:fill="auto"/>
            <w:vAlign w:val="center"/>
          </w:tcPr>
          <w:p w14:paraId="30119E43" w14:textId="77777777" w:rsidR="007D15F9" w:rsidRDefault="007D15F9">
            <w:pPr>
              <w:widowControl/>
              <w:jc w:val="left"/>
              <w:rPr>
                <w:rFonts w:ascii="宋体" w:eastAsia="宋体" w:hAnsi="宋体" w:cs="宋体"/>
                <w:color w:val="000000"/>
                <w:kern w:val="0"/>
                <w:szCs w:val="21"/>
              </w:rPr>
            </w:pPr>
          </w:p>
        </w:tc>
      </w:tr>
      <w:tr w:rsidR="007D15F9" w14:paraId="37BD0B11" w14:textId="77777777">
        <w:trPr>
          <w:trHeight w:val="566"/>
        </w:trPr>
        <w:tc>
          <w:tcPr>
            <w:tcW w:w="572" w:type="pct"/>
            <w:vMerge/>
            <w:vAlign w:val="center"/>
          </w:tcPr>
          <w:p w14:paraId="548287FF" w14:textId="77777777" w:rsidR="007D15F9" w:rsidRDefault="007D15F9">
            <w:pPr>
              <w:widowControl/>
              <w:jc w:val="left"/>
              <w:rPr>
                <w:rFonts w:ascii="宋体" w:eastAsia="宋体" w:hAnsi="宋体" w:cs="宋体"/>
                <w:color w:val="000000"/>
                <w:kern w:val="0"/>
                <w:szCs w:val="21"/>
              </w:rPr>
            </w:pPr>
          </w:p>
        </w:tc>
        <w:tc>
          <w:tcPr>
            <w:tcW w:w="774" w:type="pct"/>
            <w:shd w:val="clear" w:color="auto" w:fill="auto"/>
            <w:vAlign w:val="center"/>
          </w:tcPr>
          <w:p w14:paraId="2EA81675" w14:textId="77777777" w:rsidR="007D15F9" w:rsidRDefault="003B0323">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应急</w:t>
            </w:r>
            <w:r>
              <w:rPr>
                <w:rFonts w:ascii="宋体" w:eastAsia="宋体" w:hAnsi="宋体" w:cs="宋体"/>
                <w:color w:val="000000"/>
                <w:kern w:val="0"/>
                <w:szCs w:val="21"/>
              </w:rPr>
              <w:t>措施</w:t>
            </w:r>
          </w:p>
        </w:tc>
        <w:tc>
          <w:tcPr>
            <w:tcW w:w="2464" w:type="pct"/>
            <w:shd w:val="clear" w:color="auto" w:fill="auto"/>
            <w:vAlign w:val="center"/>
          </w:tcPr>
          <w:p w14:paraId="017251A9" w14:textId="77777777" w:rsidR="007D15F9" w:rsidRDefault="003B0323">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有完备的事故应急保障措施和能力，提供明确的响应时间、材料供应、人员配置等处理方案。</w:t>
            </w:r>
          </w:p>
        </w:tc>
        <w:tc>
          <w:tcPr>
            <w:tcW w:w="352" w:type="pct"/>
            <w:shd w:val="clear" w:color="auto" w:fill="auto"/>
            <w:vAlign w:val="center"/>
          </w:tcPr>
          <w:p w14:paraId="19B37AFE" w14:textId="77777777" w:rsidR="007D15F9" w:rsidRDefault="003B0323">
            <w:pPr>
              <w:widowControl/>
              <w:jc w:val="center"/>
              <w:rPr>
                <w:rFonts w:ascii="仿宋_GB2312" w:eastAsia="仿宋_GB2312"/>
                <w:sz w:val="20"/>
                <w:szCs w:val="28"/>
              </w:rPr>
            </w:pPr>
            <w:r>
              <w:rPr>
                <w:rFonts w:ascii="仿宋_GB2312" w:eastAsia="仿宋_GB2312" w:hint="eastAsia"/>
                <w:sz w:val="20"/>
                <w:szCs w:val="28"/>
              </w:rPr>
              <w:t>☆</w:t>
            </w:r>
          </w:p>
        </w:tc>
        <w:tc>
          <w:tcPr>
            <w:tcW w:w="419" w:type="pct"/>
            <w:shd w:val="clear" w:color="auto" w:fill="auto"/>
            <w:vAlign w:val="center"/>
          </w:tcPr>
          <w:p w14:paraId="15821767" w14:textId="77777777" w:rsidR="007D15F9" w:rsidRDefault="007D15F9">
            <w:pPr>
              <w:widowControl/>
              <w:jc w:val="left"/>
              <w:rPr>
                <w:rFonts w:ascii="宋体" w:eastAsia="宋体" w:hAnsi="宋体" w:cs="宋体"/>
                <w:color w:val="000000"/>
                <w:kern w:val="0"/>
                <w:szCs w:val="21"/>
              </w:rPr>
            </w:pPr>
          </w:p>
        </w:tc>
        <w:tc>
          <w:tcPr>
            <w:tcW w:w="419" w:type="pct"/>
            <w:shd w:val="clear" w:color="auto" w:fill="auto"/>
            <w:vAlign w:val="center"/>
          </w:tcPr>
          <w:p w14:paraId="3AC88114" w14:textId="77777777" w:rsidR="007D15F9" w:rsidRDefault="007D15F9">
            <w:pPr>
              <w:widowControl/>
              <w:jc w:val="left"/>
              <w:rPr>
                <w:rFonts w:ascii="宋体" w:eastAsia="宋体" w:hAnsi="宋体" w:cs="宋体"/>
                <w:color w:val="000000"/>
                <w:kern w:val="0"/>
                <w:szCs w:val="21"/>
              </w:rPr>
            </w:pPr>
          </w:p>
        </w:tc>
      </w:tr>
      <w:tr w:rsidR="007D15F9" w14:paraId="328F085D" w14:textId="77777777">
        <w:trPr>
          <w:trHeight w:val="576"/>
        </w:trPr>
        <w:tc>
          <w:tcPr>
            <w:tcW w:w="572" w:type="pct"/>
            <w:vMerge w:val="restart"/>
            <w:shd w:val="clear" w:color="auto" w:fill="auto"/>
            <w:vAlign w:val="center"/>
          </w:tcPr>
          <w:p w14:paraId="106368EC" w14:textId="77777777" w:rsidR="007D15F9" w:rsidRDefault="003B032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商务参数</w:t>
            </w:r>
          </w:p>
        </w:tc>
        <w:tc>
          <w:tcPr>
            <w:tcW w:w="774" w:type="pct"/>
            <w:shd w:val="clear" w:color="auto" w:fill="auto"/>
            <w:vAlign w:val="center"/>
          </w:tcPr>
          <w:p w14:paraId="50BCE5A6" w14:textId="77777777" w:rsidR="007D15F9" w:rsidRDefault="003B0323">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投标人身份证明</w:t>
            </w:r>
          </w:p>
        </w:tc>
        <w:tc>
          <w:tcPr>
            <w:tcW w:w="2464" w:type="pct"/>
            <w:shd w:val="clear" w:color="auto" w:fill="auto"/>
            <w:vAlign w:val="center"/>
          </w:tcPr>
          <w:p w14:paraId="79C2E8D1" w14:textId="77777777" w:rsidR="007D15F9" w:rsidRDefault="003B0323">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在中华人民共和国境内注册的法人或其他组织，并提供单位身份的证明文件（企业营业执照、事业法人登记证书或其他组织证明其身份的文件）、法定代表人授权委托书等。</w:t>
            </w:r>
          </w:p>
        </w:tc>
        <w:tc>
          <w:tcPr>
            <w:tcW w:w="352" w:type="pct"/>
            <w:shd w:val="clear" w:color="auto" w:fill="auto"/>
            <w:vAlign w:val="center"/>
          </w:tcPr>
          <w:p w14:paraId="456AA01F" w14:textId="77777777" w:rsidR="007D15F9" w:rsidRDefault="003B0323">
            <w:pPr>
              <w:widowControl/>
              <w:jc w:val="center"/>
              <w:rPr>
                <w:rFonts w:ascii="宋体" w:eastAsia="宋体" w:hAnsi="宋体" w:cs="宋体"/>
                <w:color w:val="000000"/>
                <w:kern w:val="0"/>
                <w:szCs w:val="21"/>
              </w:rPr>
            </w:pPr>
            <w:r>
              <w:rPr>
                <w:rFonts w:ascii="仿宋_GB2312" w:eastAsia="仿宋_GB2312" w:hint="eastAsia"/>
                <w:sz w:val="20"/>
                <w:szCs w:val="28"/>
              </w:rPr>
              <w:t>★</w:t>
            </w:r>
          </w:p>
        </w:tc>
        <w:tc>
          <w:tcPr>
            <w:tcW w:w="419" w:type="pct"/>
            <w:shd w:val="clear" w:color="auto" w:fill="auto"/>
            <w:vAlign w:val="center"/>
          </w:tcPr>
          <w:p w14:paraId="268DAB64" w14:textId="77777777" w:rsidR="007D15F9" w:rsidRDefault="007D15F9">
            <w:pPr>
              <w:widowControl/>
              <w:jc w:val="left"/>
              <w:rPr>
                <w:rFonts w:ascii="宋体" w:eastAsia="宋体" w:hAnsi="宋体" w:cs="宋体"/>
                <w:color w:val="000000"/>
                <w:kern w:val="0"/>
                <w:szCs w:val="21"/>
              </w:rPr>
            </w:pPr>
          </w:p>
        </w:tc>
        <w:tc>
          <w:tcPr>
            <w:tcW w:w="419" w:type="pct"/>
            <w:shd w:val="clear" w:color="auto" w:fill="auto"/>
            <w:vAlign w:val="center"/>
          </w:tcPr>
          <w:p w14:paraId="23F4E4E9" w14:textId="77777777" w:rsidR="007D15F9" w:rsidRDefault="007D15F9">
            <w:pPr>
              <w:widowControl/>
              <w:jc w:val="left"/>
              <w:rPr>
                <w:rFonts w:ascii="宋体" w:eastAsia="宋体" w:hAnsi="宋体" w:cs="宋体"/>
                <w:color w:val="000000"/>
                <w:kern w:val="0"/>
                <w:szCs w:val="21"/>
              </w:rPr>
            </w:pPr>
          </w:p>
        </w:tc>
      </w:tr>
      <w:tr w:rsidR="007D15F9" w14:paraId="34D53824" w14:textId="77777777">
        <w:trPr>
          <w:trHeight w:val="504"/>
        </w:trPr>
        <w:tc>
          <w:tcPr>
            <w:tcW w:w="572" w:type="pct"/>
            <w:vMerge/>
            <w:vAlign w:val="center"/>
          </w:tcPr>
          <w:p w14:paraId="3440A171" w14:textId="77777777" w:rsidR="007D15F9" w:rsidRDefault="007D15F9">
            <w:pPr>
              <w:widowControl/>
              <w:jc w:val="left"/>
              <w:rPr>
                <w:rFonts w:ascii="宋体" w:eastAsia="宋体" w:hAnsi="宋体" w:cs="宋体"/>
                <w:color w:val="000000"/>
                <w:kern w:val="0"/>
                <w:szCs w:val="21"/>
              </w:rPr>
            </w:pPr>
          </w:p>
        </w:tc>
        <w:tc>
          <w:tcPr>
            <w:tcW w:w="774" w:type="pct"/>
            <w:shd w:val="clear" w:color="auto" w:fill="auto"/>
            <w:vAlign w:val="center"/>
          </w:tcPr>
          <w:p w14:paraId="2E7E34BC" w14:textId="77777777" w:rsidR="007D15F9" w:rsidRDefault="003B0323">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违法记录</w:t>
            </w:r>
          </w:p>
        </w:tc>
        <w:tc>
          <w:tcPr>
            <w:tcW w:w="2464" w:type="pct"/>
            <w:shd w:val="clear" w:color="auto" w:fill="auto"/>
            <w:vAlign w:val="center"/>
          </w:tcPr>
          <w:p w14:paraId="3AB9CB1E" w14:textId="77777777" w:rsidR="007D15F9" w:rsidRDefault="003B0323">
            <w:pPr>
              <w:widowControl/>
              <w:jc w:val="left"/>
              <w:rPr>
                <w:rFonts w:ascii="宋体" w:eastAsia="宋体" w:hAnsi="宋体" w:cs="宋体"/>
                <w:color w:val="000000"/>
                <w:kern w:val="0"/>
                <w:szCs w:val="21"/>
              </w:rPr>
            </w:pPr>
            <w:r>
              <w:rPr>
                <w:rFonts w:hint="eastAsia"/>
              </w:rPr>
              <w:t>近三年内在经营活动中没有重大违法记录的声明。</w:t>
            </w:r>
          </w:p>
        </w:tc>
        <w:tc>
          <w:tcPr>
            <w:tcW w:w="352" w:type="pct"/>
            <w:shd w:val="clear" w:color="auto" w:fill="auto"/>
            <w:vAlign w:val="center"/>
          </w:tcPr>
          <w:p w14:paraId="04B207EE" w14:textId="77777777" w:rsidR="007D15F9" w:rsidRDefault="003B0323">
            <w:pPr>
              <w:widowControl/>
              <w:jc w:val="center"/>
              <w:rPr>
                <w:rFonts w:ascii="宋体" w:eastAsia="宋体" w:hAnsi="宋体" w:cs="宋体"/>
                <w:color w:val="000000"/>
                <w:kern w:val="0"/>
                <w:szCs w:val="21"/>
              </w:rPr>
            </w:pPr>
            <w:r>
              <w:rPr>
                <w:rFonts w:ascii="仿宋_GB2312" w:eastAsia="仿宋_GB2312" w:hint="eastAsia"/>
                <w:sz w:val="20"/>
                <w:szCs w:val="28"/>
              </w:rPr>
              <w:t>★</w:t>
            </w:r>
          </w:p>
        </w:tc>
        <w:tc>
          <w:tcPr>
            <w:tcW w:w="419" w:type="pct"/>
            <w:shd w:val="clear" w:color="auto" w:fill="auto"/>
            <w:vAlign w:val="center"/>
          </w:tcPr>
          <w:p w14:paraId="3CE6FA9F" w14:textId="77777777" w:rsidR="007D15F9" w:rsidRDefault="007D15F9">
            <w:pPr>
              <w:widowControl/>
              <w:jc w:val="left"/>
              <w:rPr>
                <w:rFonts w:ascii="宋体" w:eastAsia="宋体" w:hAnsi="宋体" w:cs="宋体"/>
                <w:color w:val="000000"/>
                <w:kern w:val="0"/>
                <w:szCs w:val="21"/>
              </w:rPr>
            </w:pPr>
          </w:p>
        </w:tc>
        <w:tc>
          <w:tcPr>
            <w:tcW w:w="419" w:type="pct"/>
            <w:shd w:val="clear" w:color="auto" w:fill="auto"/>
            <w:vAlign w:val="center"/>
          </w:tcPr>
          <w:p w14:paraId="04297258" w14:textId="77777777" w:rsidR="007D15F9" w:rsidRDefault="007D15F9">
            <w:pPr>
              <w:widowControl/>
              <w:jc w:val="left"/>
              <w:rPr>
                <w:rFonts w:ascii="宋体" w:eastAsia="宋体" w:hAnsi="宋体" w:cs="宋体"/>
                <w:color w:val="000000"/>
                <w:kern w:val="0"/>
                <w:szCs w:val="21"/>
              </w:rPr>
            </w:pPr>
          </w:p>
        </w:tc>
      </w:tr>
      <w:tr w:rsidR="007D15F9" w14:paraId="3302A8ED" w14:textId="77777777">
        <w:trPr>
          <w:trHeight w:val="504"/>
        </w:trPr>
        <w:tc>
          <w:tcPr>
            <w:tcW w:w="572" w:type="pct"/>
            <w:vMerge/>
            <w:vAlign w:val="center"/>
          </w:tcPr>
          <w:p w14:paraId="14B0C88D" w14:textId="77777777" w:rsidR="007D15F9" w:rsidRDefault="007D15F9">
            <w:pPr>
              <w:widowControl/>
              <w:jc w:val="left"/>
              <w:rPr>
                <w:rFonts w:ascii="宋体" w:eastAsia="宋体" w:hAnsi="宋体" w:cs="宋体"/>
                <w:color w:val="000000"/>
                <w:kern w:val="0"/>
                <w:szCs w:val="21"/>
              </w:rPr>
            </w:pPr>
          </w:p>
        </w:tc>
        <w:tc>
          <w:tcPr>
            <w:tcW w:w="774" w:type="pct"/>
            <w:shd w:val="clear" w:color="auto" w:fill="auto"/>
            <w:vAlign w:val="center"/>
          </w:tcPr>
          <w:p w14:paraId="5D0A7B20" w14:textId="77777777" w:rsidR="007D15F9" w:rsidRDefault="003B0323">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专业资质</w:t>
            </w:r>
          </w:p>
        </w:tc>
        <w:tc>
          <w:tcPr>
            <w:tcW w:w="2464" w:type="pct"/>
            <w:shd w:val="clear" w:color="auto" w:fill="auto"/>
            <w:vAlign w:val="center"/>
          </w:tcPr>
          <w:p w14:paraId="76225EEA" w14:textId="474831C5" w:rsidR="007D15F9" w:rsidRPr="00A17702" w:rsidRDefault="003B0323">
            <w:pPr>
              <w:widowControl/>
              <w:jc w:val="left"/>
            </w:pPr>
            <w:r>
              <w:rPr>
                <w:rFonts w:hint="eastAsia"/>
              </w:rPr>
              <w:t>中华人民共和国住房和城乡建设部颁发的电力工程施工总承包三级及以上或输变电工</w:t>
            </w:r>
            <w:proofErr w:type="gramStart"/>
            <w:r>
              <w:rPr>
                <w:rFonts w:hint="eastAsia"/>
              </w:rPr>
              <w:t>程专业</w:t>
            </w:r>
            <w:proofErr w:type="gramEnd"/>
            <w:r>
              <w:rPr>
                <w:rFonts w:hint="eastAsia"/>
              </w:rPr>
              <w:t>承包三级及以上资质，有效期内的安全生产许可证。</w:t>
            </w:r>
            <w:r w:rsidR="00A17702">
              <w:rPr>
                <w:rFonts w:hint="eastAsia"/>
              </w:rPr>
              <w:t>具备国家能源局核发的承装（修、试）电力设施许可证五级及以上资质。</w:t>
            </w:r>
          </w:p>
        </w:tc>
        <w:tc>
          <w:tcPr>
            <w:tcW w:w="352" w:type="pct"/>
            <w:shd w:val="clear" w:color="auto" w:fill="auto"/>
          </w:tcPr>
          <w:p w14:paraId="1FA028E7" w14:textId="77777777" w:rsidR="007D15F9" w:rsidRDefault="003B0323">
            <w:pPr>
              <w:widowControl/>
              <w:jc w:val="center"/>
              <w:rPr>
                <w:rFonts w:ascii="仿宋_GB2312" w:eastAsia="仿宋_GB2312"/>
                <w:sz w:val="20"/>
                <w:szCs w:val="28"/>
              </w:rPr>
            </w:pPr>
            <w:r>
              <w:rPr>
                <w:rFonts w:ascii="仿宋_GB2312" w:eastAsia="仿宋_GB2312" w:hint="eastAsia"/>
                <w:sz w:val="20"/>
                <w:szCs w:val="28"/>
              </w:rPr>
              <w:t>★</w:t>
            </w:r>
          </w:p>
        </w:tc>
        <w:tc>
          <w:tcPr>
            <w:tcW w:w="419" w:type="pct"/>
            <w:shd w:val="clear" w:color="auto" w:fill="auto"/>
            <w:vAlign w:val="center"/>
          </w:tcPr>
          <w:p w14:paraId="5E4DDCFD" w14:textId="77777777" w:rsidR="007D15F9" w:rsidRDefault="007D15F9">
            <w:pPr>
              <w:widowControl/>
              <w:jc w:val="left"/>
              <w:rPr>
                <w:rFonts w:ascii="宋体" w:eastAsia="宋体" w:hAnsi="宋体" w:cs="宋体"/>
                <w:color w:val="000000"/>
                <w:kern w:val="0"/>
                <w:szCs w:val="21"/>
              </w:rPr>
            </w:pPr>
          </w:p>
        </w:tc>
        <w:tc>
          <w:tcPr>
            <w:tcW w:w="419" w:type="pct"/>
            <w:shd w:val="clear" w:color="auto" w:fill="auto"/>
            <w:vAlign w:val="center"/>
          </w:tcPr>
          <w:p w14:paraId="6C23C327" w14:textId="77777777" w:rsidR="007D15F9" w:rsidRDefault="007D15F9">
            <w:pPr>
              <w:widowControl/>
              <w:jc w:val="left"/>
              <w:rPr>
                <w:rFonts w:ascii="宋体" w:eastAsia="宋体" w:hAnsi="宋体" w:cs="宋体"/>
                <w:color w:val="000000"/>
                <w:kern w:val="0"/>
                <w:szCs w:val="21"/>
              </w:rPr>
            </w:pPr>
          </w:p>
        </w:tc>
      </w:tr>
      <w:tr w:rsidR="007D15F9" w14:paraId="5C1089D1" w14:textId="77777777">
        <w:trPr>
          <w:trHeight w:val="442"/>
        </w:trPr>
        <w:tc>
          <w:tcPr>
            <w:tcW w:w="572" w:type="pct"/>
            <w:vMerge/>
            <w:vAlign w:val="center"/>
          </w:tcPr>
          <w:p w14:paraId="75DB9973" w14:textId="77777777" w:rsidR="007D15F9" w:rsidRDefault="007D15F9">
            <w:pPr>
              <w:widowControl/>
              <w:jc w:val="left"/>
              <w:rPr>
                <w:rFonts w:ascii="宋体" w:eastAsia="宋体" w:hAnsi="宋体" w:cs="宋体"/>
                <w:color w:val="000000"/>
                <w:kern w:val="0"/>
                <w:szCs w:val="21"/>
              </w:rPr>
            </w:pPr>
          </w:p>
        </w:tc>
        <w:tc>
          <w:tcPr>
            <w:tcW w:w="774" w:type="pct"/>
            <w:shd w:val="clear" w:color="auto" w:fill="auto"/>
            <w:vAlign w:val="center"/>
          </w:tcPr>
          <w:p w14:paraId="049AC5D2" w14:textId="77777777" w:rsidR="007D15F9" w:rsidRDefault="003B0323">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类似业绩</w:t>
            </w:r>
          </w:p>
        </w:tc>
        <w:tc>
          <w:tcPr>
            <w:tcW w:w="2464" w:type="pct"/>
            <w:shd w:val="clear" w:color="auto" w:fill="auto"/>
            <w:vAlign w:val="center"/>
          </w:tcPr>
          <w:p w14:paraId="40A3B220" w14:textId="77777777" w:rsidR="007D15F9" w:rsidRDefault="003B0323">
            <w:pPr>
              <w:widowControl/>
              <w:jc w:val="left"/>
            </w:pPr>
            <w:r>
              <w:rPr>
                <w:rFonts w:hint="eastAsia"/>
              </w:rPr>
              <w:t>近三年内类似项目一览表。</w:t>
            </w:r>
          </w:p>
        </w:tc>
        <w:tc>
          <w:tcPr>
            <w:tcW w:w="352" w:type="pct"/>
            <w:shd w:val="clear" w:color="auto" w:fill="auto"/>
          </w:tcPr>
          <w:p w14:paraId="62F54F3D" w14:textId="77777777" w:rsidR="007D15F9" w:rsidRDefault="003B0323">
            <w:pPr>
              <w:widowControl/>
              <w:jc w:val="center"/>
              <w:rPr>
                <w:rFonts w:ascii="仿宋_GB2312" w:eastAsia="仿宋_GB2312"/>
                <w:sz w:val="20"/>
                <w:szCs w:val="28"/>
              </w:rPr>
            </w:pPr>
            <w:r>
              <w:rPr>
                <w:rFonts w:ascii="仿宋_GB2312" w:eastAsia="仿宋_GB2312" w:hint="eastAsia"/>
                <w:sz w:val="20"/>
                <w:szCs w:val="28"/>
              </w:rPr>
              <w:t>☆</w:t>
            </w:r>
          </w:p>
        </w:tc>
        <w:tc>
          <w:tcPr>
            <w:tcW w:w="419" w:type="pct"/>
            <w:shd w:val="clear" w:color="auto" w:fill="auto"/>
            <w:vAlign w:val="center"/>
          </w:tcPr>
          <w:p w14:paraId="77EDBA4A" w14:textId="77777777" w:rsidR="007D15F9" w:rsidRDefault="007D15F9">
            <w:pPr>
              <w:widowControl/>
              <w:jc w:val="left"/>
              <w:rPr>
                <w:rFonts w:ascii="宋体" w:eastAsia="宋体" w:hAnsi="宋体" w:cs="宋体"/>
                <w:color w:val="000000"/>
                <w:kern w:val="0"/>
                <w:szCs w:val="21"/>
              </w:rPr>
            </w:pPr>
          </w:p>
        </w:tc>
        <w:tc>
          <w:tcPr>
            <w:tcW w:w="419" w:type="pct"/>
            <w:shd w:val="clear" w:color="auto" w:fill="auto"/>
            <w:vAlign w:val="center"/>
          </w:tcPr>
          <w:p w14:paraId="76108EA2" w14:textId="77777777" w:rsidR="007D15F9" w:rsidRDefault="007D15F9">
            <w:pPr>
              <w:widowControl/>
              <w:jc w:val="left"/>
              <w:rPr>
                <w:rFonts w:ascii="宋体" w:eastAsia="宋体" w:hAnsi="宋体" w:cs="宋体"/>
                <w:color w:val="000000"/>
                <w:kern w:val="0"/>
                <w:szCs w:val="21"/>
              </w:rPr>
            </w:pPr>
          </w:p>
        </w:tc>
      </w:tr>
      <w:tr w:rsidR="007D15F9" w14:paraId="04C815E0" w14:textId="77777777">
        <w:trPr>
          <w:trHeight w:val="510"/>
        </w:trPr>
        <w:tc>
          <w:tcPr>
            <w:tcW w:w="572" w:type="pct"/>
            <w:vMerge/>
            <w:vAlign w:val="center"/>
          </w:tcPr>
          <w:p w14:paraId="01840167" w14:textId="77777777" w:rsidR="007D15F9" w:rsidRDefault="007D15F9">
            <w:pPr>
              <w:widowControl/>
              <w:jc w:val="left"/>
              <w:rPr>
                <w:rFonts w:ascii="宋体" w:eastAsia="宋体" w:hAnsi="宋体" w:cs="宋体"/>
                <w:color w:val="000000"/>
                <w:kern w:val="0"/>
                <w:szCs w:val="21"/>
              </w:rPr>
            </w:pPr>
          </w:p>
        </w:tc>
        <w:tc>
          <w:tcPr>
            <w:tcW w:w="774" w:type="pct"/>
            <w:shd w:val="clear" w:color="auto" w:fill="auto"/>
            <w:vAlign w:val="center"/>
          </w:tcPr>
          <w:p w14:paraId="4036842A" w14:textId="77777777" w:rsidR="007D15F9" w:rsidRDefault="003B0323">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产品质保</w:t>
            </w:r>
          </w:p>
        </w:tc>
        <w:tc>
          <w:tcPr>
            <w:tcW w:w="2464" w:type="pct"/>
            <w:shd w:val="clear" w:color="auto" w:fill="auto"/>
            <w:vAlign w:val="center"/>
          </w:tcPr>
          <w:p w14:paraId="06791E7F" w14:textId="709EF91F" w:rsidR="007D15F9" w:rsidRDefault="003B0323" w:rsidP="00883E11">
            <w:pPr>
              <w:widowControl/>
              <w:jc w:val="left"/>
              <w:rPr>
                <w:rFonts w:ascii="宋体" w:eastAsia="宋体" w:hAnsi="宋体" w:cs="宋体"/>
                <w:color w:val="000000"/>
                <w:kern w:val="0"/>
                <w:szCs w:val="21"/>
              </w:rPr>
            </w:pPr>
            <w:r>
              <w:t>质保</w:t>
            </w:r>
            <w:r w:rsidR="00883E11">
              <w:t>2</w:t>
            </w:r>
            <w:r>
              <w:rPr>
                <w:rFonts w:hint="eastAsia"/>
              </w:rPr>
              <w:t>年以上。</w:t>
            </w:r>
            <w:bookmarkStart w:id="2" w:name="_GoBack"/>
            <w:bookmarkEnd w:id="2"/>
          </w:p>
        </w:tc>
        <w:tc>
          <w:tcPr>
            <w:tcW w:w="352" w:type="pct"/>
            <w:shd w:val="clear" w:color="auto" w:fill="auto"/>
            <w:vAlign w:val="center"/>
          </w:tcPr>
          <w:p w14:paraId="6F93A7E7" w14:textId="77777777" w:rsidR="007D15F9" w:rsidRDefault="003B0323">
            <w:pPr>
              <w:widowControl/>
              <w:jc w:val="center"/>
              <w:rPr>
                <w:rFonts w:ascii="宋体" w:eastAsia="宋体" w:hAnsi="宋体" w:cs="宋体"/>
                <w:color w:val="000000"/>
                <w:kern w:val="0"/>
                <w:szCs w:val="21"/>
              </w:rPr>
            </w:pPr>
            <w:r>
              <w:rPr>
                <w:rFonts w:ascii="仿宋_GB2312" w:eastAsia="仿宋_GB2312" w:hint="eastAsia"/>
                <w:sz w:val="20"/>
                <w:szCs w:val="28"/>
              </w:rPr>
              <w:t>☆</w:t>
            </w:r>
          </w:p>
        </w:tc>
        <w:tc>
          <w:tcPr>
            <w:tcW w:w="419" w:type="pct"/>
            <w:shd w:val="clear" w:color="auto" w:fill="auto"/>
            <w:vAlign w:val="center"/>
          </w:tcPr>
          <w:p w14:paraId="0E9D4AD9" w14:textId="77777777" w:rsidR="007D15F9" w:rsidRDefault="007D15F9">
            <w:pPr>
              <w:widowControl/>
              <w:jc w:val="left"/>
              <w:rPr>
                <w:rFonts w:ascii="宋体" w:eastAsia="宋体" w:hAnsi="宋体" w:cs="宋体"/>
                <w:color w:val="000000"/>
                <w:kern w:val="0"/>
                <w:szCs w:val="21"/>
              </w:rPr>
            </w:pPr>
          </w:p>
        </w:tc>
        <w:tc>
          <w:tcPr>
            <w:tcW w:w="419" w:type="pct"/>
            <w:shd w:val="clear" w:color="auto" w:fill="auto"/>
            <w:vAlign w:val="center"/>
          </w:tcPr>
          <w:p w14:paraId="434D18F6" w14:textId="77777777" w:rsidR="007D15F9" w:rsidRDefault="007D15F9">
            <w:pPr>
              <w:widowControl/>
              <w:jc w:val="left"/>
              <w:rPr>
                <w:rFonts w:ascii="宋体" w:eastAsia="宋体" w:hAnsi="宋体" w:cs="宋体"/>
                <w:color w:val="000000"/>
                <w:kern w:val="0"/>
                <w:szCs w:val="21"/>
              </w:rPr>
            </w:pPr>
          </w:p>
        </w:tc>
      </w:tr>
      <w:tr w:rsidR="007D15F9" w14:paraId="68459876" w14:textId="77777777">
        <w:trPr>
          <w:trHeight w:val="529"/>
        </w:trPr>
        <w:tc>
          <w:tcPr>
            <w:tcW w:w="572" w:type="pct"/>
            <w:shd w:val="clear" w:color="auto" w:fill="auto"/>
            <w:vAlign w:val="center"/>
          </w:tcPr>
          <w:p w14:paraId="3F0B7EC3" w14:textId="77777777" w:rsidR="007D15F9" w:rsidRDefault="003B0323">
            <w:pPr>
              <w:widowControl/>
              <w:jc w:val="center"/>
              <w:rPr>
                <w:rFonts w:ascii="宋体" w:eastAsia="宋体" w:hAnsi="宋体" w:cs="宋体"/>
                <w:color w:val="000000"/>
                <w:kern w:val="0"/>
                <w:szCs w:val="21"/>
              </w:rPr>
            </w:pPr>
            <w:bookmarkStart w:id="3" w:name="_Hlk106454033"/>
            <w:r>
              <w:rPr>
                <w:rFonts w:ascii="宋体" w:eastAsia="宋体" w:hAnsi="宋体" w:cs="宋体" w:hint="eastAsia"/>
                <w:color w:val="000000"/>
                <w:kern w:val="0"/>
                <w:szCs w:val="21"/>
              </w:rPr>
              <w:t>市场价格</w:t>
            </w:r>
          </w:p>
        </w:tc>
        <w:tc>
          <w:tcPr>
            <w:tcW w:w="3590" w:type="pct"/>
            <w:gridSpan w:val="3"/>
            <w:shd w:val="clear" w:color="auto" w:fill="auto"/>
            <w:vAlign w:val="center"/>
          </w:tcPr>
          <w:p w14:paraId="370ADC47" w14:textId="77777777" w:rsidR="007D15F9" w:rsidRDefault="003B0323">
            <w:pPr>
              <w:widowControl/>
              <w:jc w:val="left"/>
            </w:pPr>
            <w:r>
              <w:rPr>
                <w:rFonts w:hint="eastAsia"/>
              </w:rPr>
              <w:t>阐述价格测算方式。报价包括分项报价和总价。</w:t>
            </w:r>
          </w:p>
        </w:tc>
        <w:tc>
          <w:tcPr>
            <w:tcW w:w="419" w:type="pct"/>
            <w:shd w:val="clear" w:color="auto" w:fill="auto"/>
            <w:vAlign w:val="center"/>
          </w:tcPr>
          <w:p w14:paraId="36B156AD" w14:textId="77777777" w:rsidR="007D15F9" w:rsidRDefault="007D15F9">
            <w:pPr>
              <w:widowControl/>
              <w:jc w:val="left"/>
              <w:rPr>
                <w:rFonts w:ascii="宋体" w:eastAsia="宋体" w:hAnsi="宋体" w:cs="宋体"/>
                <w:color w:val="000000"/>
                <w:kern w:val="0"/>
                <w:szCs w:val="21"/>
              </w:rPr>
            </w:pPr>
          </w:p>
        </w:tc>
        <w:tc>
          <w:tcPr>
            <w:tcW w:w="419" w:type="pct"/>
            <w:shd w:val="clear" w:color="auto" w:fill="auto"/>
            <w:vAlign w:val="center"/>
          </w:tcPr>
          <w:p w14:paraId="4C56FE3E" w14:textId="77777777" w:rsidR="007D15F9" w:rsidRDefault="007D15F9">
            <w:pPr>
              <w:widowControl/>
              <w:jc w:val="left"/>
              <w:rPr>
                <w:rFonts w:ascii="宋体" w:eastAsia="宋体" w:hAnsi="宋体" w:cs="宋体"/>
                <w:color w:val="000000"/>
                <w:kern w:val="0"/>
                <w:szCs w:val="21"/>
              </w:rPr>
            </w:pPr>
          </w:p>
        </w:tc>
      </w:tr>
      <w:tr w:rsidR="007D15F9" w14:paraId="1E711A98" w14:textId="77777777">
        <w:trPr>
          <w:trHeight w:val="529"/>
        </w:trPr>
        <w:tc>
          <w:tcPr>
            <w:tcW w:w="572" w:type="pct"/>
            <w:shd w:val="clear" w:color="auto" w:fill="auto"/>
            <w:vAlign w:val="center"/>
          </w:tcPr>
          <w:p w14:paraId="76D1F155" w14:textId="77777777" w:rsidR="007D15F9" w:rsidRDefault="003B032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其他参数</w:t>
            </w:r>
          </w:p>
        </w:tc>
        <w:tc>
          <w:tcPr>
            <w:tcW w:w="3238" w:type="pct"/>
            <w:gridSpan w:val="2"/>
            <w:shd w:val="clear" w:color="auto" w:fill="auto"/>
            <w:vAlign w:val="center"/>
          </w:tcPr>
          <w:p w14:paraId="73F88CF5" w14:textId="77777777" w:rsidR="007D15F9" w:rsidRDefault="007D15F9">
            <w:pPr>
              <w:widowControl/>
              <w:jc w:val="left"/>
            </w:pPr>
          </w:p>
        </w:tc>
        <w:tc>
          <w:tcPr>
            <w:tcW w:w="352" w:type="pct"/>
            <w:shd w:val="clear" w:color="auto" w:fill="auto"/>
            <w:vAlign w:val="center"/>
          </w:tcPr>
          <w:p w14:paraId="6F24388C" w14:textId="77777777" w:rsidR="007D15F9" w:rsidRDefault="003B0323">
            <w:pPr>
              <w:widowControl/>
              <w:jc w:val="center"/>
            </w:pPr>
            <w:r>
              <w:rPr>
                <w:rFonts w:ascii="仿宋_GB2312" w:eastAsia="仿宋_GB2312" w:hint="eastAsia"/>
                <w:sz w:val="20"/>
                <w:szCs w:val="28"/>
              </w:rPr>
              <w:t>△</w:t>
            </w:r>
          </w:p>
        </w:tc>
        <w:tc>
          <w:tcPr>
            <w:tcW w:w="419" w:type="pct"/>
            <w:shd w:val="clear" w:color="auto" w:fill="auto"/>
            <w:vAlign w:val="center"/>
          </w:tcPr>
          <w:p w14:paraId="5B9A37A3" w14:textId="77777777" w:rsidR="007D15F9" w:rsidRDefault="007D15F9">
            <w:pPr>
              <w:widowControl/>
              <w:jc w:val="left"/>
              <w:rPr>
                <w:rFonts w:ascii="宋体" w:eastAsia="宋体" w:hAnsi="宋体" w:cs="宋体"/>
                <w:color w:val="000000"/>
                <w:kern w:val="0"/>
                <w:szCs w:val="21"/>
              </w:rPr>
            </w:pPr>
          </w:p>
        </w:tc>
        <w:tc>
          <w:tcPr>
            <w:tcW w:w="419" w:type="pct"/>
            <w:shd w:val="clear" w:color="auto" w:fill="auto"/>
            <w:vAlign w:val="center"/>
          </w:tcPr>
          <w:p w14:paraId="46554DE4" w14:textId="77777777" w:rsidR="007D15F9" w:rsidRDefault="007D15F9">
            <w:pPr>
              <w:widowControl/>
              <w:jc w:val="left"/>
              <w:rPr>
                <w:rFonts w:ascii="宋体" w:eastAsia="宋体" w:hAnsi="宋体" w:cs="宋体"/>
                <w:color w:val="000000"/>
                <w:kern w:val="0"/>
                <w:szCs w:val="21"/>
              </w:rPr>
            </w:pPr>
          </w:p>
        </w:tc>
      </w:tr>
      <w:bookmarkEnd w:id="3"/>
    </w:tbl>
    <w:p w14:paraId="54B1EC36" w14:textId="77777777" w:rsidR="007D15F9" w:rsidRDefault="007D15F9">
      <w:pPr>
        <w:spacing w:line="360" w:lineRule="auto"/>
        <w:rPr>
          <w:rFonts w:ascii="仿宋_GB2312" w:eastAsia="仿宋_GB2312"/>
          <w:sz w:val="20"/>
          <w:szCs w:val="28"/>
        </w:rPr>
      </w:pPr>
    </w:p>
    <w:sectPr w:rsidR="007D15F9">
      <w:pgSz w:w="16838" w:h="11906" w:orient="landscape"/>
      <w:pgMar w:top="568"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29E"/>
    <w:rsid w:val="00011790"/>
    <w:rsid w:val="00033FAF"/>
    <w:rsid w:val="0005143A"/>
    <w:rsid w:val="00073602"/>
    <w:rsid w:val="000804CE"/>
    <w:rsid w:val="00086D46"/>
    <w:rsid w:val="000925EC"/>
    <w:rsid w:val="0009587C"/>
    <w:rsid w:val="000B18AC"/>
    <w:rsid w:val="00123DDD"/>
    <w:rsid w:val="0018531B"/>
    <w:rsid w:val="001858A5"/>
    <w:rsid w:val="001926CF"/>
    <w:rsid w:val="001B1C94"/>
    <w:rsid w:val="001D666B"/>
    <w:rsid w:val="001D7728"/>
    <w:rsid w:val="00201562"/>
    <w:rsid w:val="002173C9"/>
    <w:rsid w:val="0024412C"/>
    <w:rsid w:val="00254EE4"/>
    <w:rsid w:val="0025544A"/>
    <w:rsid w:val="00271EC9"/>
    <w:rsid w:val="002E41C2"/>
    <w:rsid w:val="003025BE"/>
    <w:rsid w:val="00313FED"/>
    <w:rsid w:val="003262D9"/>
    <w:rsid w:val="00343687"/>
    <w:rsid w:val="00345D36"/>
    <w:rsid w:val="003B0323"/>
    <w:rsid w:val="003C0ABC"/>
    <w:rsid w:val="003E1D28"/>
    <w:rsid w:val="003E4B57"/>
    <w:rsid w:val="003E557F"/>
    <w:rsid w:val="003E634D"/>
    <w:rsid w:val="00425379"/>
    <w:rsid w:val="00426F93"/>
    <w:rsid w:val="00457D5C"/>
    <w:rsid w:val="004A63D8"/>
    <w:rsid w:val="004C0FE3"/>
    <w:rsid w:val="004C581E"/>
    <w:rsid w:val="004E016A"/>
    <w:rsid w:val="00522A6E"/>
    <w:rsid w:val="00546326"/>
    <w:rsid w:val="005544FD"/>
    <w:rsid w:val="00556195"/>
    <w:rsid w:val="00571D66"/>
    <w:rsid w:val="0057350F"/>
    <w:rsid w:val="0057653B"/>
    <w:rsid w:val="005767AA"/>
    <w:rsid w:val="005E286A"/>
    <w:rsid w:val="005F09CA"/>
    <w:rsid w:val="00633653"/>
    <w:rsid w:val="00650C0A"/>
    <w:rsid w:val="00666163"/>
    <w:rsid w:val="006724FC"/>
    <w:rsid w:val="006B2814"/>
    <w:rsid w:val="006C39DD"/>
    <w:rsid w:val="006C6838"/>
    <w:rsid w:val="006D1066"/>
    <w:rsid w:val="006D5EDC"/>
    <w:rsid w:val="006E4665"/>
    <w:rsid w:val="006E509A"/>
    <w:rsid w:val="006F1D70"/>
    <w:rsid w:val="00700ED2"/>
    <w:rsid w:val="00765E57"/>
    <w:rsid w:val="00767988"/>
    <w:rsid w:val="007733F2"/>
    <w:rsid w:val="007B7E93"/>
    <w:rsid w:val="007B7EE4"/>
    <w:rsid w:val="007D15F9"/>
    <w:rsid w:val="007E5B47"/>
    <w:rsid w:val="00820A19"/>
    <w:rsid w:val="00821602"/>
    <w:rsid w:val="008529EE"/>
    <w:rsid w:val="00852ACD"/>
    <w:rsid w:val="0087190F"/>
    <w:rsid w:val="00883E11"/>
    <w:rsid w:val="008912AF"/>
    <w:rsid w:val="008926CF"/>
    <w:rsid w:val="0089436A"/>
    <w:rsid w:val="008961A9"/>
    <w:rsid w:val="008E3539"/>
    <w:rsid w:val="00915C5C"/>
    <w:rsid w:val="00954810"/>
    <w:rsid w:val="009B694D"/>
    <w:rsid w:val="009D1B49"/>
    <w:rsid w:val="00A17702"/>
    <w:rsid w:val="00A215E4"/>
    <w:rsid w:val="00A26F42"/>
    <w:rsid w:val="00A52C2D"/>
    <w:rsid w:val="00B46535"/>
    <w:rsid w:val="00B53AD8"/>
    <w:rsid w:val="00BA0628"/>
    <w:rsid w:val="00BA429E"/>
    <w:rsid w:val="00BA709D"/>
    <w:rsid w:val="00BC66AD"/>
    <w:rsid w:val="00BE3153"/>
    <w:rsid w:val="00BE37CF"/>
    <w:rsid w:val="00BF06B4"/>
    <w:rsid w:val="00BF71F3"/>
    <w:rsid w:val="00C95E15"/>
    <w:rsid w:val="00CA17F6"/>
    <w:rsid w:val="00CA3C98"/>
    <w:rsid w:val="00CB19C8"/>
    <w:rsid w:val="00CC5135"/>
    <w:rsid w:val="00CD532E"/>
    <w:rsid w:val="00CD72C4"/>
    <w:rsid w:val="00CD76F3"/>
    <w:rsid w:val="00CE7495"/>
    <w:rsid w:val="00D136AE"/>
    <w:rsid w:val="00D62315"/>
    <w:rsid w:val="00D71E7F"/>
    <w:rsid w:val="00D87D24"/>
    <w:rsid w:val="00D96D8F"/>
    <w:rsid w:val="00D96DFB"/>
    <w:rsid w:val="00DA3333"/>
    <w:rsid w:val="00E25493"/>
    <w:rsid w:val="00E453CE"/>
    <w:rsid w:val="00E4715C"/>
    <w:rsid w:val="00E61DFE"/>
    <w:rsid w:val="00E756ED"/>
    <w:rsid w:val="00E8112B"/>
    <w:rsid w:val="00EB4923"/>
    <w:rsid w:val="00EB73EE"/>
    <w:rsid w:val="00EC0D8D"/>
    <w:rsid w:val="00EF5366"/>
    <w:rsid w:val="00F023C0"/>
    <w:rsid w:val="00F101EB"/>
    <w:rsid w:val="00F30600"/>
    <w:rsid w:val="00F44B3B"/>
    <w:rsid w:val="00F66573"/>
    <w:rsid w:val="00F807E5"/>
    <w:rsid w:val="00FB0284"/>
    <w:rsid w:val="00FB07DD"/>
    <w:rsid w:val="00FC7B17"/>
    <w:rsid w:val="00FD1898"/>
    <w:rsid w:val="00FD33A9"/>
    <w:rsid w:val="00FD6932"/>
    <w:rsid w:val="291E3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6AE61"/>
  <w15:docId w15:val="{424E05E8-B8BE-40D6-93F2-CB9E6915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shca</dc:creator>
  <cp:lastModifiedBy>shca</cp:lastModifiedBy>
  <cp:revision>105</cp:revision>
  <dcterms:created xsi:type="dcterms:W3CDTF">2021-12-27T00:58:00Z</dcterms:created>
  <dcterms:modified xsi:type="dcterms:W3CDTF">2025-11-27T03:18:00Z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eyJoZGlkIjoiNDI2OWQ0ZGNhZDA4YTRhYjIxNTRmMGU4ZjhlMjAzYTEifQ==</vt:lpwstr>
  </property>
  <property fmtid="{D5CDD505-2E9C-101B-9397-08002B2CF9AE}" pid="3" name="KSOProductBuildVer">
    <vt:lpwstr>2052-12.1.0.23542</vt:lpwstr>
  </property>
  <property fmtid="{D5CDD505-2E9C-101B-9397-08002B2CF9AE}" pid="4" name="ICV">
    <vt:lpwstr>A6D4989571404A88B0F7C8C37B89812B_12</vt:lpwstr>
  </property>
</Properties>
</file>