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D892" w14:textId="66CD2D13" w:rsidR="00011790" w:rsidRDefault="00011790" w:rsidP="00011790">
      <w:pPr>
        <w:spacing w:line="360" w:lineRule="auto"/>
        <w:rPr>
          <w:rFonts w:ascii="仿宋_GB2312" w:eastAsia="仿宋_GB2312"/>
          <w:b/>
          <w:sz w:val="24"/>
          <w:szCs w:val="28"/>
        </w:rPr>
      </w:pPr>
      <w:bookmarkStart w:id="0" w:name="_Hlk106454977"/>
      <w:r>
        <w:rPr>
          <w:rFonts w:ascii="仿宋_GB2312" w:eastAsia="仿宋_GB2312" w:hint="eastAsia"/>
          <w:b/>
          <w:sz w:val="24"/>
          <w:szCs w:val="28"/>
        </w:rPr>
        <w:t xml:space="preserve">需求参数确认清单： </w:t>
      </w:r>
      <w:bookmarkStart w:id="1" w:name="_Hlk106453548"/>
      <w:r>
        <w:rPr>
          <w:rFonts w:ascii="仿宋_GB2312" w:eastAsia="仿宋_GB2312" w:hint="eastAsia"/>
          <w:sz w:val="20"/>
          <w:szCs w:val="28"/>
        </w:rPr>
        <w:t>（以下指标</w:t>
      </w:r>
      <w:r>
        <w:rPr>
          <w:rFonts w:ascii="仿宋_GB2312" w:eastAsia="仿宋_GB2312" w:hint="eastAsia"/>
          <w:b/>
          <w:color w:val="FF0000"/>
          <w:sz w:val="20"/>
          <w:szCs w:val="28"/>
        </w:rPr>
        <w:t>满足请填</w:t>
      </w:r>
      <w:r>
        <w:rPr>
          <w:rFonts w:ascii="等线" w:eastAsia="等线" w:hAnsi="等线" w:hint="eastAsia"/>
          <w:b/>
          <w:color w:val="FF0000"/>
          <w:sz w:val="20"/>
          <w:szCs w:val="28"/>
        </w:rPr>
        <w:t>√</w:t>
      </w:r>
      <w:r>
        <w:rPr>
          <w:rFonts w:ascii="仿宋_GB2312" w:eastAsia="仿宋_GB2312" w:hint="eastAsia"/>
          <w:b/>
          <w:color w:val="FF0000"/>
          <w:sz w:val="20"/>
          <w:szCs w:val="28"/>
        </w:rPr>
        <w:t>，不满足请填</w:t>
      </w:r>
      <w:r>
        <w:rPr>
          <w:rFonts w:ascii="等线" w:eastAsia="等线" w:hAnsi="等线" w:hint="eastAsia"/>
          <w:b/>
          <w:color w:val="FF0000"/>
          <w:sz w:val="20"/>
          <w:szCs w:val="28"/>
        </w:rPr>
        <w:t>◊</w:t>
      </w:r>
      <w:r>
        <w:rPr>
          <w:rFonts w:ascii="仿宋_GB2312" w:eastAsia="仿宋_GB2312" w:hint="eastAsia"/>
          <w:sz w:val="20"/>
          <w:szCs w:val="28"/>
        </w:rPr>
        <w:t>。指标按重要性分为“★”、“☆”、“#”和“△”。★代表实质性指标，不满足该指标项将导致投标被拒绝，☆代表优质优价指标，#代表重要指标，△则表示一般指标项。）</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417"/>
        <w:gridCol w:w="7695"/>
        <w:gridCol w:w="1099"/>
        <w:gridCol w:w="1308"/>
        <w:gridCol w:w="1308"/>
      </w:tblGrid>
      <w:tr w:rsidR="00271EC9" w:rsidRPr="003E4B57" w14:paraId="1DF9DAD5" w14:textId="77777777" w:rsidTr="00271EC9">
        <w:trPr>
          <w:trHeight w:val="498"/>
        </w:trPr>
        <w:tc>
          <w:tcPr>
            <w:tcW w:w="572" w:type="pct"/>
            <w:shd w:val="clear" w:color="auto" w:fill="auto"/>
            <w:vAlign w:val="center"/>
            <w:hideMark/>
          </w:tcPr>
          <w:p w14:paraId="6916ABC7" w14:textId="77777777" w:rsidR="00271EC9" w:rsidRPr="003E4B57" w:rsidRDefault="00271EC9" w:rsidP="00E72CBC">
            <w:pPr>
              <w:widowControl/>
              <w:jc w:val="center"/>
              <w:rPr>
                <w:rFonts w:ascii="宋体" w:eastAsia="宋体" w:hAnsi="宋体" w:cs="宋体"/>
                <w:color w:val="000000"/>
                <w:kern w:val="0"/>
                <w:szCs w:val="21"/>
              </w:rPr>
            </w:pPr>
            <w:bookmarkStart w:id="2" w:name="_GoBack" w:colFirst="4" w:colLast="5"/>
            <w:bookmarkEnd w:id="0"/>
            <w:r w:rsidRPr="003E4B57">
              <w:rPr>
                <w:rFonts w:ascii="宋体" w:eastAsia="宋体" w:hAnsi="宋体" w:cs="宋体" w:hint="eastAsia"/>
                <w:color w:val="000000"/>
                <w:kern w:val="0"/>
                <w:szCs w:val="21"/>
              </w:rPr>
              <w:t>/</w:t>
            </w:r>
          </w:p>
        </w:tc>
        <w:tc>
          <w:tcPr>
            <w:tcW w:w="774" w:type="pct"/>
            <w:shd w:val="clear" w:color="auto" w:fill="auto"/>
            <w:vAlign w:val="center"/>
            <w:hideMark/>
          </w:tcPr>
          <w:p w14:paraId="25C8D8D9" w14:textId="77777777" w:rsidR="00271EC9" w:rsidRPr="003E4B57" w:rsidRDefault="00271EC9"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需求指标</w:t>
            </w:r>
          </w:p>
        </w:tc>
        <w:tc>
          <w:tcPr>
            <w:tcW w:w="2464" w:type="pct"/>
            <w:shd w:val="clear" w:color="auto" w:fill="auto"/>
            <w:vAlign w:val="center"/>
            <w:hideMark/>
          </w:tcPr>
          <w:p w14:paraId="2533B15C" w14:textId="77777777" w:rsidR="00271EC9" w:rsidRPr="003E4B57" w:rsidRDefault="00271EC9"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参数范围</w:t>
            </w:r>
          </w:p>
        </w:tc>
        <w:tc>
          <w:tcPr>
            <w:tcW w:w="352" w:type="pct"/>
            <w:shd w:val="clear" w:color="auto" w:fill="auto"/>
            <w:vAlign w:val="center"/>
            <w:hideMark/>
          </w:tcPr>
          <w:p w14:paraId="4B27D68F" w14:textId="77777777" w:rsidR="00271EC9" w:rsidRPr="003E4B57" w:rsidRDefault="00271EC9"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指标重要性</w:t>
            </w:r>
          </w:p>
        </w:tc>
        <w:tc>
          <w:tcPr>
            <w:tcW w:w="419" w:type="pct"/>
            <w:shd w:val="clear" w:color="auto" w:fill="auto"/>
            <w:vAlign w:val="center"/>
          </w:tcPr>
          <w:p w14:paraId="525F185F" w14:textId="145A7D53" w:rsidR="00271EC9" w:rsidRPr="00254851" w:rsidRDefault="00271EC9" w:rsidP="00E72CBC">
            <w:pPr>
              <w:widowControl/>
              <w:jc w:val="center"/>
              <w:rPr>
                <w:rFonts w:ascii="宋体" w:eastAsia="宋体" w:hAnsi="宋体" w:cs="宋体"/>
                <w:kern w:val="0"/>
                <w:szCs w:val="21"/>
              </w:rPr>
            </w:pPr>
            <w:r w:rsidRPr="00254851">
              <w:rPr>
                <w:rFonts w:ascii="宋体" w:eastAsia="宋体" w:hAnsi="宋体" w:cs="宋体"/>
                <w:kern w:val="0"/>
                <w:szCs w:val="21"/>
              </w:rPr>
              <w:t>是否符合</w:t>
            </w:r>
          </w:p>
        </w:tc>
        <w:tc>
          <w:tcPr>
            <w:tcW w:w="419" w:type="pct"/>
            <w:shd w:val="clear" w:color="auto" w:fill="auto"/>
            <w:vAlign w:val="center"/>
          </w:tcPr>
          <w:p w14:paraId="2536C7FC" w14:textId="3977BD8D" w:rsidR="00271EC9" w:rsidRPr="00254851" w:rsidRDefault="00271EC9" w:rsidP="00E72CBC">
            <w:pPr>
              <w:widowControl/>
              <w:jc w:val="center"/>
              <w:rPr>
                <w:rFonts w:ascii="宋体" w:eastAsia="宋体" w:hAnsi="宋体" w:cs="宋体"/>
                <w:kern w:val="0"/>
                <w:szCs w:val="21"/>
              </w:rPr>
            </w:pPr>
            <w:r w:rsidRPr="00254851">
              <w:rPr>
                <w:rFonts w:ascii="宋体" w:eastAsia="宋体" w:hAnsi="宋体" w:cs="宋体"/>
                <w:kern w:val="0"/>
                <w:szCs w:val="21"/>
              </w:rPr>
              <w:t>材料备注页</w:t>
            </w:r>
          </w:p>
        </w:tc>
      </w:tr>
      <w:bookmarkEnd w:id="2"/>
      <w:tr w:rsidR="00271EC9" w:rsidRPr="003E4B57" w14:paraId="5AC7478D" w14:textId="77777777" w:rsidTr="006011B9">
        <w:trPr>
          <w:trHeight w:val="576"/>
        </w:trPr>
        <w:tc>
          <w:tcPr>
            <w:tcW w:w="572" w:type="pct"/>
            <w:vMerge w:val="restart"/>
            <w:vAlign w:val="center"/>
            <w:hideMark/>
          </w:tcPr>
          <w:p w14:paraId="05D47465" w14:textId="7252C9DE" w:rsidR="00271EC9" w:rsidRPr="003E4B57" w:rsidRDefault="00546326" w:rsidP="0054632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技术参数</w:t>
            </w:r>
          </w:p>
        </w:tc>
        <w:tc>
          <w:tcPr>
            <w:tcW w:w="774" w:type="pct"/>
            <w:shd w:val="clear" w:color="auto" w:fill="auto"/>
            <w:vAlign w:val="center"/>
          </w:tcPr>
          <w:p w14:paraId="4281FAC4" w14:textId="6375729A" w:rsidR="00271EC9" w:rsidRPr="00364AD9" w:rsidRDefault="00DF3753" w:rsidP="00B7720F">
            <w:pPr>
              <w:widowControl/>
              <w:jc w:val="center"/>
            </w:pPr>
            <w:r w:rsidRPr="00364AD9">
              <w:t>供气品质</w:t>
            </w:r>
          </w:p>
        </w:tc>
        <w:tc>
          <w:tcPr>
            <w:tcW w:w="2464" w:type="pct"/>
            <w:shd w:val="clear" w:color="auto" w:fill="auto"/>
          </w:tcPr>
          <w:p w14:paraId="0F7E1443" w14:textId="0C55F5BC" w:rsidR="00271EC9" w:rsidRPr="00364AD9" w:rsidRDefault="00DF3753" w:rsidP="006932A5">
            <w:pPr>
              <w:widowControl/>
            </w:pPr>
            <w:r w:rsidRPr="00364AD9">
              <w:t>须满足服务清单中各类气体的质量标准、钢瓶规格、充装压力、接口标准等要求</w:t>
            </w:r>
            <w:r w:rsidR="006932A5">
              <w:t>，并符合相关技术规范、安全标准和验收要求，</w:t>
            </w:r>
            <w:r w:rsidR="006932A5" w:rsidRPr="006932A5">
              <w:rPr>
                <w:rFonts w:hint="eastAsia"/>
              </w:rPr>
              <w:t>提供原厂质保书、合格证、相关环保检测证明等有关文档资料或文件</w:t>
            </w:r>
            <w:r w:rsidR="006932A5">
              <w:rPr>
                <w:rFonts w:hint="eastAsia"/>
              </w:rPr>
              <w:t>，</w:t>
            </w:r>
            <w:r w:rsidR="006932A5" w:rsidRPr="006932A5">
              <w:rPr>
                <w:rFonts w:hint="eastAsia"/>
              </w:rPr>
              <w:t>所供产品必须完整注明产地、品名、型号等数据</w:t>
            </w:r>
          </w:p>
        </w:tc>
        <w:tc>
          <w:tcPr>
            <w:tcW w:w="352" w:type="pct"/>
            <w:shd w:val="clear" w:color="auto" w:fill="auto"/>
            <w:vAlign w:val="center"/>
          </w:tcPr>
          <w:p w14:paraId="72DC06C2" w14:textId="77777777" w:rsidR="00271EC9" w:rsidRPr="00201C1C" w:rsidRDefault="00271EC9"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19" w:type="pct"/>
            <w:shd w:val="clear" w:color="auto" w:fill="auto"/>
            <w:vAlign w:val="center"/>
          </w:tcPr>
          <w:p w14:paraId="7DFC380F" w14:textId="77777777" w:rsidR="00271EC9" w:rsidRPr="003E4B57" w:rsidRDefault="00271EC9" w:rsidP="00E72CBC">
            <w:pPr>
              <w:widowControl/>
              <w:jc w:val="left"/>
              <w:rPr>
                <w:rFonts w:ascii="宋体" w:eastAsia="宋体" w:hAnsi="宋体" w:cs="宋体"/>
                <w:color w:val="000000"/>
                <w:kern w:val="0"/>
                <w:szCs w:val="21"/>
              </w:rPr>
            </w:pPr>
          </w:p>
        </w:tc>
        <w:tc>
          <w:tcPr>
            <w:tcW w:w="419" w:type="pct"/>
            <w:shd w:val="clear" w:color="auto" w:fill="auto"/>
            <w:vAlign w:val="center"/>
          </w:tcPr>
          <w:p w14:paraId="4FFF93C1" w14:textId="77777777" w:rsidR="00271EC9" w:rsidRPr="003E4B57" w:rsidRDefault="00271EC9" w:rsidP="00E72CBC">
            <w:pPr>
              <w:widowControl/>
              <w:jc w:val="left"/>
              <w:rPr>
                <w:rFonts w:ascii="宋体" w:eastAsia="宋体" w:hAnsi="宋体" w:cs="宋体"/>
                <w:color w:val="000000"/>
                <w:kern w:val="0"/>
                <w:szCs w:val="21"/>
              </w:rPr>
            </w:pPr>
          </w:p>
        </w:tc>
      </w:tr>
      <w:tr w:rsidR="003A0CFB" w:rsidRPr="003E4B57" w14:paraId="6758E70E" w14:textId="77777777" w:rsidTr="00F71784">
        <w:trPr>
          <w:trHeight w:val="576"/>
        </w:trPr>
        <w:tc>
          <w:tcPr>
            <w:tcW w:w="572" w:type="pct"/>
            <w:vMerge/>
            <w:vAlign w:val="center"/>
          </w:tcPr>
          <w:p w14:paraId="44E96099" w14:textId="77777777" w:rsidR="003A0CFB" w:rsidRDefault="003A0CFB" w:rsidP="00546326">
            <w:pPr>
              <w:widowControl/>
              <w:jc w:val="center"/>
              <w:rPr>
                <w:rFonts w:ascii="宋体" w:eastAsia="宋体" w:hAnsi="宋体" w:cs="宋体"/>
                <w:color w:val="000000"/>
                <w:kern w:val="0"/>
                <w:szCs w:val="21"/>
              </w:rPr>
            </w:pPr>
          </w:p>
        </w:tc>
        <w:tc>
          <w:tcPr>
            <w:tcW w:w="774" w:type="pct"/>
            <w:shd w:val="clear" w:color="auto" w:fill="auto"/>
            <w:vAlign w:val="center"/>
          </w:tcPr>
          <w:p w14:paraId="482BA506" w14:textId="5FEB6A5C" w:rsidR="003A0CFB" w:rsidRPr="00364AD9" w:rsidRDefault="003A0CFB" w:rsidP="00B7720F">
            <w:pPr>
              <w:widowControl/>
              <w:jc w:val="center"/>
            </w:pPr>
            <w:r>
              <w:rPr>
                <w:rFonts w:ascii="宋体" w:eastAsia="宋体" w:hAnsi="宋体" w:cs="宋体" w:hint="eastAsia"/>
                <w:kern w:val="0"/>
                <w:szCs w:val="21"/>
              </w:rPr>
              <w:t>质保期</w:t>
            </w:r>
          </w:p>
        </w:tc>
        <w:tc>
          <w:tcPr>
            <w:tcW w:w="2464" w:type="pct"/>
            <w:shd w:val="clear" w:color="auto" w:fill="auto"/>
            <w:vAlign w:val="center"/>
          </w:tcPr>
          <w:p w14:paraId="4D66B00B" w14:textId="655C2DF3" w:rsidR="003A0CFB" w:rsidRPr="00364AD9" w:rsidRDefault="003A0CFB" w:rsidP="006932A5">
            <w:pPr>
              <w:widowControl/>
            </w:pPr>
            <w:r w:rsidRPr="003A0CFB">
              <w:rPr>
                <w:rFonts w:ascii="宋体" w:eastAsia="宋体" w:hAnsi="宋体" w:cs="宋体" w:hint="eastAsia"/>
                <w:kern w:val="0"/>
                <w:szCs w:val="21"/>
              </w:rPr>
              <w:t>产品有效期自验收合格之日起应大于６个月</w:t>
            </w:r>
            <w:r>
              <w:rPr>
                <w:rFonts w:ascii="宋体" w:eastAsia="宋体" w:hAnsi="宋体" w:cs="宋体" w:hint="eastAsia"/>
                <w:kern w:val="0"/>
                <w:szCs w:val="21"/>
              </w:rPr>
              <w:t>。</w:t>
            </w:r>
          </w:p>
        </w:tc>
        <w:tc>
          <w:tcPr>
            <w:tcW w:w="352" w:type="pct"/>
            <w:shd w:val="clear" w:color="auto" w:fill="auto"/>
            <w:vAlign w:val="center"/>
          </w:tcPr>
          <w:p w14:paraId="777C802B" w14:textId="1299F7CB" w:rsidR="003A0CFB" w:rsidRPr="00201C1C" w:rsidRDefault="00626BAD"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7E4DDA38"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0BB98611"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6301BB7D" w14:textId="77777777" w:rsidTr="006011B9">
        <w:trPr>
          <w:trHeight w:val="566"/>
        </w:trPr>
        <w:tc>
          <w:tcPr>
            <w:tcW w:w="572" w:type="pct"/>
            <w:vMerge/>
            <w:vAlign w:val="center"/>
            <w:hideMark/>
          </w:tcPr>
          <w:p w14:paraId="2A10C936" w14:textId="77777777" w:rsidR="003A0CFB" w:rsidRPr="003E4B57" w:rsidRDefault="003A0CFB" w:rsidP="00E72CBC">
            <w:pPr>
              <w:widowControl/>
              <w:jc w:val="left"/>
              <w:rPr>
                <w:rFonts w:ascii="宋体" w:eastAsia="宋体" w:hAnsi="宋体" w:cs="宋体"/>
                <w:color w:val="000000"/>
                <w:kern w:val="0"/>
                <w:szCs w:val="21"/>
              </w:rPr>
            </w:pPr>
          </w:p>
        </w:tc>
        <w:tc>
          <w:tcPr>
            <w:tcW w:w="774" w:type="pct"/>
            <w:shd w:val="clear" w:color="auto" w:fill="auto"/>
            <w:vAlign w:val="center"/>
          </w:tcPr>
          <w:p w14:paraId="6103E00D" w14:textId="3DD227D0" w:rsidR="003A0CFB" w:rsidRPr="00364AD9" w:rsidRDefault="003A0CFB" w:rsidP="00D10CD8">
            <w:pPr>
              <w:widowControl/>
              <w:jc w:val="center"/>
            </w:pPr>
            <w:r>
              <w:rPr>
                <w:rFonts w:hint="eastAsia"/>
              </w:rPr>
              <w:t>配送</w:t>
            </w:r>
            <w:r w:rsidRPr="00364AD9">
              <w:t>方案</w:t>
            </w:r>
          </w:p>
        </w:tc>
        <w:tc>
          <w:tcPr>
            <w:tcW w:w="2464" w:type="pct"/>
            <w:shd w:val="clear" w:color="auto" w:fill="auto"/>
            <w:vAlign w:val="center"/>
          </w:tcPr>
          <w:p w14:paraId="6CB73ED7" w14:textId="4AF1E327" w:rsidR="003A0CFB" w:rsidRPr="00364AD9" w:rsidRDefault="003A0CFB" w:rsidP="00F6369A">
            <w:pPr>
              <w:widowControl/>
            </w:pPr>
            <w:r w:rsidRPr="003A0CFB">
              <w:rPr>
                <w:rFonts w:hint="eastAsia"/>
              </w:rPr>
              <w:t>针对现场的危险品运输制定运输方案</w:t>
            </w:r>
            <w:r>
              <w:rPr>
                <w:rFonts w:hint="eastAsia"/>
              </w:rPr>
              <w:t>，</w:t>
            </w:r>
            <w:r w:rsidRPr="003A0CFB">
              <w:rPr>
                <w:rFonts w:hint="eastAsia"/>
              </w:rPr>
              <w:t>提供的运输车辆需具备自卸尾板，并确保到达现场后可以自行装卸</w:t>
            </w:r>
            <w:r>
              <w:rPr>
                <w:rFonts w:hint="eastAsia"/>
              </w:rPr>
              <w:t>；</w:t>
            </w:r>
            <w:r w:rsidRPr="003A0CFB">
              <w:rPr>
                <w:rFonts w:hint="eastAsia"/>
              </w:rPr>
              <w:t>现场物流配送人员必须具有道路危险货物从业人员资格证，且熟知相关危险品的操作知识、应急方法，熟练掌握相关危险品的操作技能。具有物流配送体系，能按时效要求且安全地完成送货任务。</w:t>
            </w:r>
          </w:p>
        </w:tc>
        <w:tc>
          <w:tcPr>
            <w:tcW w:w="352" w:type="pct"/>
            <w:shd w:val="clear" w:color="auto" w:fill="auto"/>
            <w:vAlign w:val="center"/>
          </w:tcPr>
          <w:p w14:paraId="4CF2C26E" w14:textId="6A501CAA" w:rsidR="003A0CFB" w:rsidRPr="00201C1C" w:rsidRDefault="00626BAD" w:rsidP="00E72CBC">
            <w:pPr>
              <w:widowControl/>
              <w:jc w:val="center"/>
              <w:rPr>
                <w:rFonts w:ascii="宋体" w:eastAsia="宋体" w:hAnsi="宋体" w:cs="宋体"/>
                <w:kern w:val="0"/>
                <w:szCs w:val="21"/>
              </w:rPr>
            </w:pPr>
            <w:r>
              <w:rPr>
                <w:rFonts w:ascii="仿宋_GB2312" w:eastAsia="仿宋_GB2312" w:hint="eastAsia"/>
                <w:sz w:val="20"/>
                <w:szCs w:val="28"/>
              </w:rPr>
              <w:t>☆</w:t>
            </w:r>
          </w:p>
        </w:tc>
        <w:tc>
          <w:tcPr>
            <w:tcW w:w="419" w:type="pct"/>
            <w:shd w:val="clear" w:color="auto" w:fill="auto"/>
            <w:vAlign w:val="center"/>
          </w:tcPr>
          <w:p w14:paraId="1819C743"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2FFE0BE4"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2EF13A25" w14:textId="77777777" w:rsidTr="006011B9">
        <w:trPr>
          <w:trHeight w:val="566"/>
        </w:trPr>
        <w:tc>
          <w:tcPr>
            <w:tcW w:w="572" w:type="pct"/>
            <w:vMerge/>
            <w:vAlign w:val="center"/>
          </w:tcPr>
          <w:p w14:paraId="512F4580" w14:textId="77777777" w:rsidR="003A0CFB" w:rsidRPr="003E4B57" w:rsidRDefault="003A0CFB" w:rsidP="00E72CBC">
            <w:pPr>
              <w:widowControl/>
              <w:jc w:val="left"/>
              <w:rPr>
                <w:rFonts w:ascii="宋体" w:eastAsia="宋体" w:hAnsi="宋体" w:cs="宋体"/>
                <w:color w:val="000000"/>
                <w:kern w:val="0"/>
                <w:szCs w:val="21"/>
              </w:rPr>
            </w:pPr>
          </w:p>
        </w:tc>
        <w:tc>
          <w:tcPr>
            <w:tcW w:w="774" w:type="pct"/>
            <w:shd w:val="clear" w:color="auto" w:fill="auto"/>
            <w:vAlign w:val="center"/>
          </w:tcPr>
          <w:p w14:paraId="1D8A1A77" w14:textId="31381FFD" w:rsidR="003A0CFB" w:rsidRPr="00201C1C" w:rsidRDefault="003A0CFB" w:rsidP="00B7720F">
            <w:pPr>
              <w:widowControl/>
              <w:jc w:val="center"/>
              <w:rPr>
                <w:rFonts w:ascii="宋体" w:eastAsia="宋体" w:hAnsi="宋体" w:cs="宋体"/>
                <w:kern w:val="0"/>
                <w:szCs w:val="21"/>
              </w:rPr>
            </w:pPr>
            <w:r>
              <w:rPr>
                <w:rFonts w:ascii="宋体" w:eastAsia="宋体" w:hAnsi="宋体" w:cs="宋体" w:hint="eastAsia"/>
                <w:kern w:val="0"/>
                <w:szCs w:val="21"/>
              </w:rPr>
              <w:t>送货要求</w:t>
            </w:r>
          </w:p>
        </w:tc>
        <w:tc>
          <w:tcPr>
            <w:tcW w:w="2464" w:type="pct"/>
            <w:shd w:val="clear" w:color="auto" w:fill="auto"/>
            <w:vAlign w:val="center"/>
          </w:tcPr>
          <w:p w14:paraId="56260E56" w14:textId="5E9BBA79" w:rsidR="003A0CFB" w:rsidRPr="00201C1C" w:rsidRDefault="003A0CFB" w:rsidP="003A0CFB">
            <w:pPr>
              <w:widowControl/>
              <w:rPr>
                <w:rFonts w:ascii="宋体" w:eastAsia="宋体" w:hAnsi="宋体" w:cs="宋体"/>
                <w:kern w:val="0"/>
                <w:szCs w:val="21"/>
              </w:rPr>
            </w:pPr>
            <w:r w:rsidRPr="003A0CFB">
              <w:rPr>
                <w:rFonts w:ascii="宋体" w:eastAsia="宋体" w:hAnsi="宋体" w:cs="宋体" w:hint="eastAsia"/>
                <w:kern w:val="0"/>
                <w:szCs w:val="21"/>
              </w:rPr>
              <w:t>应能及时响应</w:t>
            </w:r>
            <w:r>
              <w:rPr>
                <w:rFonts w:ascii="宋体" w:eastAsia="宋体" w:hAnsi="宋体" w:cs="宋体" w:hint="eastAsia"/>
                <w:kern w:val="0"/>
                <w:szCs w:val="21"/>
              </w:rPr>
              <w:t>医院</w:t>
            </w:r>
            <w:r w:rsidRPr="003A0CFB">
              <w:rPr>
                <w:rFonts w:ascii="宋体" w:eastAsia="宋体" w:hAnsi="宋体" w:cs="宋体" w:hint="eastAsia"/>
                <w:kern w:val="0"/>
                <w:szCs w:val="21"/>
              </w:rPr>
              <w:t>订货需求并配送到指定位置；在节假日及特殊活动期间，也应确保送货不受影响；如遇应急送货，需要在4小时内安排车辆人员到位；送货入院人员必须服从医院相关管理规定，规范作业。</w:t>
            </w:r>
          </w:p>
        </w:tc>
        <w:tc>
          <w:tcPr>
            <w:tcW w:w="352" w:type="pct"/>
            <w:shd w:val="clear" w:color="auto" w:fill="auto"/>
            <w:vAlign w:val="center"/>
          </w:tcPr>
          <w:p w14:paraId="0D00E18C" w14:textId="2F7D027F" w:rsidR="003A0CFB" w:rsidRPr="00201C1C" w:rsidRDefault="00626BAD" w:rsidP="00E72CBC">
            <w:pPr>
              <w:widowControl/>
              <w:jc w:val="center"/>
              <w:rPr>
                <w:rFonts w:ascii="仿宋_GB2312" w:eastAsia="仿宋_GB2312"/>
                <w:sz w:val="20"/>
                <w:szCs w:val="28"/>
              </w:rPr>
            </w:pPr>
            <w:r>
              <w:rPr>
                <w:rFonts w:ascii="仿宋_GB2312" w:eastAsia="仿宋_GB2312" w:hint="eastAsia"/>
                <w:sz w:val="20"/>
                <w:szCs w:val="28"/>
              </w:rPr>
              <w:t>☆</w:t>
            </w:r>
          </w:p>
        </w:tc>
        <w:tc>
          <w:tcPr>
            <w:tcW w:w="419" w:type="pct"/>
            <w:shd w:val="clear" w:color="auto" w:fill="auto"/>
            <w:vAlign w:val="center"/>
          </w:tcPr>
          <w:p w14:paraId="75D96557"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30119E43"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389DDCF6" w14:textId="77777777" w:rsidTr="006011B9">
        <w:trPr>
          <w:trHeight w:val="566"/>
        </w:trPr>
        <w:tc>
          <w:tcPr>
            <w:tcW w:w="572" w:type="pct"/>
            <w:vMerge/>
            <w:vAlign w:val="center"/>
          </w:tcPr>
          <w:p w14:paraId="08C9B780" w14:textId="77777777" w:rsidR="003A0CFB" w:rsidRPr="003E4B57" w:rsidRDefault="003A0CFB" w:rsidP="00E72CBC">
            <w:pPr>
              <w:widowControl/>
              <w:jc w:val="left"/>
              <w:rPr>
                <w:rFonts w:ascii="宋体" w:eastAsia="宋体" w:hAnsi="宋体" w:cs="宋体"/>
                <w:color w:val="000000"/>
                <w:kern w:val="0"/>
                <w:szCs w:val="21"/>
              </w:rPr>
            </w:pPr>
          </w:p>
        </w:tc>
        <w:tc>
          <w:tcPr>
            <w:tcW w:w="774" w:type="pct"/>
            <w:shd w:val="clear" w:color="auto" w:fill="auto"/>
            <w:vAlign w:val="center"/>
          </w:tcPr>
          <w:p w14:paraId="3D916D63" w14:textId="2C3C5FE4" w:rsidR="003A0CFB" w:rsidRDefault="003A0CFB" w:rsidP="00B7720F">
            <w:pPr>
              <w:widowControl/>
              <w:jc w:val="center"/>
              <w:rPr>
                <w:rFonts w:ascii="宋体" w:eastAsia="宋体" w:hAnsi="宋体" w:cs="宋体"/>
                <w:kern w:val="0"/>
                <w:szCs w:val="21"/>
              </w:rPr>
            </w:pPr>
            <w:r>
              <w:rPr>
                <w:rFonts w:eastAsiaTheme="minorHAnsi" w:cs="Times New Roman"/>
                <w:sz w:val="24"/>
                <w:szCs w:val="24"/>
              </w:rPr>
              <w:t>配套服务</w:t>
            </w:r>
          </w:p>
        </w:tc>
        <w:tc>
          <w:tcPr>
            <w:tcW w:w="2464" w:type="pct"/>
            <w:shd w:val="clear" w:color="auto" w:fill="auto"/>
            <w:vAlign w:val="center"/>
          </w:tcPr>
          <w:p w14:paraId="0F1E382C" w14:textId="2337667A" w:rsidR="003A0CFB" w:rsidRPr="00270BF8" w:rsidRDefault="003A0CFB" w:rsidP="00B54989">
            <w:pPr>
              <w:widowControl/>
              <w:rPr>
                <w:rFonts w:ascii="宋体" w:eastAsia="宋体" w:hAnsi="宋体" w:cs="宋体"/>
                <w:kern w:val="0"/>
                <w:szCs w:val="21"/>
              </w:rPr>
            </w:pPr>
            <w:r>
              <w:rPr>
                <w:rFonts w:ascii="宋体" w:eastAsia="宋体" w:hAnsi="宋体" w:cs="宋体" w:hint="eastAsia"/>
                <w:kern w:val="0"/>
                <w:szCs w:val="21"/>
              </w:rPr>
              <w:t>（</w:t>
            </w:r>
            <w:r w:rsidRPr="00152C32">
              <w:rPr>
                <w:rFonts w:ascii="宋体" w:eastAsia="宋体" w:hAnsi="宋体" w:cs="宋体" w:hint="eastAsia"/>
                <w:kern w:val="0"/>
                <w:szCs w:val="21"/>
              </w:rPr>
              <w:t>1）送货人员需按</w:t>
            </w:r>
            <w:r>
              <w:rPr>
                <w:rFonts w:ascii="宋体" w:eastAsia="宋体" w:hAnsi="宋体" w:cs="宋体" w:hint="eastAsia"/>
                <w:kern w:val="0"/>
                <w:szCs w:val="21"/>
              </w:rPr>
              <w:t>院方</w:t>
            </w:r>
            <w:r w:rsidRPr="00152C32">
              <w:rPr>
                <w:rFonts w:ascii="宋体" w:eastAsia="宋体" w:hAnsi="宋体" w:cs="宋体" w:hint="eastAsia"/>
                <w:kern w:val="0"/>
                <w:szCs w:val="21"/>
              </w:rPr>
              <w:t>实验室人员的安排对液氮罐完成液氮补充，未经允许不得擅入其他区域。（2）验收：充液氮完成后，送货人员需与实验室人员工共同确定加装液氮的数量及是否符合要求。（3）现场液氮加装操作必须做好防冻伤等措施，配戴防护面罩、防冻伤手套，穿长袖衣服，确保液氮加装的安全性及合规性。（4）任何因</w:t>
            </w:r>
            <w:r>
              <w:rPr>
                <w:rFonts w:ascii="宋体" w:eastAsia="宋体" w:hAnsi="宋体" w:cs="宋体" w:hint="eastAsia"/>
                <w:kern w:val="0"/>
                <w:szCs w:val="21"/>
              </w:rPr>
              <w:t>送货人员</w:t>
            </w:r>
            <w:r w:rsidRPr="00152C32">
              <w:rPr>
                <w:rFonts w:ascii="宋体" w:eastAsia="宋体" w:hAnsi="宋体" w:cs="宋体" w:hint="eastAsia"/>
                <w:kern w:val="0"/>
                <w:szCs w:val="21"/>
              </w:rPr>
              <w:t>安全操作不当引发的安全事故，其责任及相关损失由</w:t>
            </w:r>
            <w:r>
              <w:rPr>
                <w:rFonts w:ascii="宋体" w:eastAsia="宋体" w:hAnsi="宋体" w:cs="宋体" w:hint="eastAsia"/>
                <w:kern w:val="0"/>
                <w:szCs w:val="21"/>
              </w:rPr>
              <w:t>公司自身</w:t>
            </w:r>
            <w:r w:rsidRPr="00152C32">
              <w:rPr>
                <w:rFonts w:ascii="宋体" w:eastAsia="宋体" w:hAnsi="宋体" w:cs="宋体" w:hint="eastAsia"/>
                <w:kern w:val="0"/>
                <w:szCs w:val="21"/>
              </w:rPr>
              <w:t>承担。</w:t>
            </w:r>
          </w:p>
        </w:tc>
        <w:tc>
          <w:tcPr>
            <w:tcW w:w="352" w:type="pct"/>
            <w:shd w:val="clear" w:color="auto" w:fill="auto"/>
            <w:vAlign w:val="center"/>
          </w:tcPr>
          <w:p w14:paraId="155DB539" w14:textId="40B7E999" w:rsidR="003A0CFB" w:rsidRPr="00201C1C" w:rsidRDefault="003A0CFB"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46FDF8E4"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18420A9D"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4EB4B545" w14:textId="77777777" w:rsidTr="006011B9">
        <w:trPr>
          <w:trHeight w:val="566"/>
        </w:trPr>
        <w:tc>
          <w:tcPr>
            <w:tcW w:w="572" w:type="pct"/>
            <w:vMerge/>
            <w:vAlign w:val="center"/>
          </w:tcPr>
          <w:p w14:paraId="46351D48" w14:textId="77777777" w:rsidR="003A0CFB" w:rsidRPr="003E4B57" w:rsidRDefault="003A0CFB" w:rsidP="00E72CBC">
            <w:pPr>
              <w:widowControl/>
              <w:jc w:val="left"/>
              <w:rPr>
                <w:rFonts w:ascii="宋体" w:eastAsia="宋体" w:hAnsi="宋体" w:cs="宋体"/>
                <w:color w:val="000000"/>
                <w:kern w:val="0"/>
                <w:szCs w:val="21"/>
              </w:rPr>
            </w:pPr>
          </w:p>
        </w:tc>
        <w:tc>
          <w:tcPr>
            <w:tcW w:w="774" w:type="pct"/>
            <w:shd w:val="clear" w:color="auto" w:fill="auto"/>
            <w:vAlign w:val="center"/>
          </w:tcPr>
          <w:p w14:paraId="7EB12F51" w14:textId="43E95F07" w:rsidR="003A0CFB" w:rsidRDefault="003A0CFB" w:rsidP="00B7720F">
            <w:pPr>
              <w:widowControl/>
              <w:jc w:val="center"/>
              <w:rPr>
                <w:rFonts w:ascii="宋体" w:eastAsia="宋体" w:hAnsi="宋体" w:cs="宋体"/>
                <w:kern w:val="0"/>
                <w:szCs w:val="21"/>
              </w:rPr>
            </w:pPr>
            <w:r>
              <w:rPr>
                <w:rFonts w:ascii="宋体" w:eastAsia="宋体" w:hAnsi="宋体" w:cs="宋体"/>
                <w:color w:val="000000"/>
                <w:kern w:val="0"/>
                <w:szCs w:val="21"/>
              </w:rPr>
              <w:t>安全教育和技术培训</w:t>
            </w:r>
          </w:p>
        </w:tc>
        <w:tc>
          <w:tcPr>
            <w:tcW w:w="2464" w:type="pct"/>
            <w:shd w:val="clear" w:color="auto" w:fill="auto"/>
            <w:vAlign w:val="center"/>
          </w:tcPr>
          <w:p w14:paraId="6E71204C" w14:textId="6AEF730C" w:rsidR="003A0CFB" w:rsidRPr="00D10CD8" w:rsidRDefault="003A0CFB" w:rsidP="001B3453">
            <w:pPr>
              <w:widowControl/>
              <w:rPr>
                <w:rFonts w:ascii="宋体" w:eastAsia="宋体" w:hAnsi="宋体" w:cs="宋体"/>
                <w:kern w:val="0"/>
                <w:szCs w:val="21"/>
              </w:rPr>
            </w:pPr>
            <w:r>
              <w:rPr>
                <w:rFonts w:ascii="宋体" w:eastAsia="宋体" w:hAnsi="宋体" w:cs="宋体"/>
                <w:color w:val="000000"/>
                <w:kern w:val="0"/>
                <w:szCs w:val="21"/>
              </w:rPr>
              <w:t>定期向院方相关人员开展</w:t>
            </w:r>
            <w:r>
              <w:rPr>
                <w:rFonts w:ascii="宋体" w:eastAsia="宋体" w:hAnsi="宋体" w:cs="宋体" w:hint="eastAsia"/>
                <w:color w:val="000000"/>
                <w:kern w:val="0"/>
                <w:szCs w:val="21"/>
              </w:rPr>
              <w:t>气瓶运输、使用等相关</w:t>
            </w:r>
            <w:r>
              <w:rPr>
                <w:rFonts w:ascii="宋体" w:eastAsia="宋体" w:hAnsi="宋体" w:cs="宋体"/>
                <w:color w:val="000000"/>
                <w:kern w:val="0"/>
                <w:szCs w:val="21"/>
              </w:rPr>
              <w:t>安全教育和技术培训</w:t>
            </w:r>
            <w:r>
              <w:rPr>
                <w:rFonts w:ascii="宋体" w:eastAsia="宋体" w:hAnsi="宋体" w:cs="宋体" w:hint="eastAsia"/>
                <w:color w:val="000000"/>
                <w:kern w:val="0"/>
                <w:szCs w:val="21"/>
              </w:rPr>
              <w:t>。</w:t>
            </w:r>
          </w:p>
        </w:tc>
        <w:tc>
          <w:tcPr>
            <w:tcW w:w="352" w:type="pct"/>
            <w:shd w:val="clear" w:color="auto" w:fill="auto"/>
            <w:vAlign w:val="center"/>
          </w:tcPr>
          <w:p w14:paraId="04F0F6C7" w14:textId="6A895B69" w:rsidR="003A0CFB" w:rsidRPr="00201C1C" w:rsidRDefault="003A0CFB"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2B37EAD0"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1B380216"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328F085D" w14:textId="77777777" w:rsidTr="006011B9">
        <w:trPr>
          <w:trHeight w:val="576"/>
        </w:trPr>
        <w:tc>
          <w:tcPr>
            <w:tcW w:w="572" w:type="pct"/>
            <w:vMerge w:val="restart"/>
            <w:shd w:val="clear" w:color="auto" w:fill="auto"/>
            <w:vAlign w:val="center"/>
            <w:hideMark/>
          </w:tcPr>
          <w:p w14:paraId="106368EC" w14:textId="77777777" w:rsidR="003A0CFB" w:rsidRPr="003E4B57" w:rsidRDefault="003A0CFB"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商务参数</w:t>
            </w:r>
          </w:p>
        </w:tc>
        <w:tc>
          <w:tcPr>
            <w:tcW w:w="774" w:type="pct"/>
            <w:shd w:val="clear" w:color="auto" w:fill="auto"/>
            <w:vAlign w:val="center"/>
          </w:tcPr>
          <w:p w14:paraId="50BCE5A6" w14:textId="25562C35" w:rsidR="003A0CFB" w:rsidRPr="00201C1C" w:rsidRDefault="003A0CFB" w:rsidP="00B7720F">
            <w:pPr>
              <w:widowControl/>
              <w:jc w:val="center"/>
              <w:rPr>
                <w:rFonts w:ascii="宋体" w:eastAsia="宋体" w:hAnsi="宋体" w:cs="宋体"/>
                <w:kern w:val="0"/>
                <w:szCs w:val="21"/>
              </w:rPr>
            </w:pPr>
            <w:r w:rsidRPr="00201C1C">
              <w:rPr>
                <w:rFonts w:hint="eastAsia"/>
              </w:rPr>
              <w:t>供应商</w:t>
            </w:r>
            <w:r>
              <w:rPr>
                <w:rFonts w:hint="eastAsia"/>
              </w:rPr>
              <w:t>身份证明</w:t>
            </w:r>
          </w:p>
        </w:tc>
        <w:tc>
          <w:tcPr>
            <w:tcW w:w="2464" w:type="pct"/>
            <w:shd w:val="clear" w:color="auto" w:fill="auto"/>
            <w:vAlign w:val="center"/>
          </w:tcPr>
          <w:p w14:paraId="79C2E8D1" w14:textId="280A98B3" w:rsidR="003A0CFB" w:rsidRPr="00201C1C" w:rsidRDefault="003A0CFB" w:rsidP="00B84215">
            <w:pPr>
              <w:widowControl/>
              <w:rPr>
                <w:rFonts w:ascii="宋体" w:eastAsia="宋体" w:hAnsi="宋体" w:cs="宋体"/>
                <w:kern w:val="0"/>
                <w:szCs w:val="21"/>
              </w:rPr>
            </w:pPr>
            <w:r w:rsidRPr="00201C1C">
              <w:rPr>
                <w:rFonts w:hint="eastAsia"/>
              </w:rPr>
              <w:t>在中华人民共和国境内注册的法人或其他组织，并提供单位身份的证明文件（企业营业执照、事业法人登记证书或其他组织证明其身份的文件）、法定代表人授权委托书等。</w:t>
            </w:r>
          </w:p>
        </w:tc>
        <w:tc>
          <w:tcPr>
            <w:tcW w:w="352" w:type="pct"/>
            <w:shd w:val="clear" w:color="auto" w:fill="auto"/>
            <w:vAlign w:val="center"/>
          </w:tcPr>
          <w:p w14:paraId="456AA01F" w14:textId="77777777" w:rsidR="003A0CFB" w:rsidRPr="00201C1C" w:rsidRDefault="003A0CFB"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19" w:type="pct"/>
            <w:shd w:val="clear" w:color="auto" w:fill="auto"/>
            <w:vAlign w:val="center"/>
          </w:tcPr>
          <w:p w14:paraId="268DAB64"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23F4E4E9"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603B0A10" w14:textId="77777777" w:rsidTr="006011B9">
        <w:trPr>
          <w:trHeight w:val="576"/>
        </w:trPr>
        <w:tc>
          <w:tcPr>
            <w:tcW w:w="572" w:type="pct"/>
            <w:vMerge/>
            <w:shd w:val="clear" w:color="auto" w:fill="auto"/>
            <w:vAlign w:val="center"/>
          </w:tcPr>
          <w:p w14:paraId="66CA4050" w14:textId="77777777" w:rsidR="003A0CFB" w:rsidRPr="003E4B57" w:rsidRDefault="003A0CFB" w:rsidP="00E72CBC">
            <w:pPr>
              <w:widowControl/>
              <w:jc w:val="center"/>
              <w:rPr>
                <w:rFonts w:ascii="宋体" w:eastAsia="宋体" w:hAnsi="宋体" w:cs="宋体"/>
                <w:color w:val="000000"/>
                <w:kern w:val="0"/>
                <w:szCs w:val="21"/>
              </w:rPr>
            </w:pPr>
          </w:p>
        </w:tc>
        <w:tc>
          <w:tcPr>
            <w:tcW w:w="774" w:type="pct"/>
            <w:shd w:val="clear" w:color="auto" w:fill="auto"/>
            <w:vAlign w:val="center"/>
          </w:tcPr>
          <w:p w14:paraId="781230F9" w14:textId="2754E250" w:rsidR="003A0CFB" w:rsidRPr="00201C1C" w:rsidRDefault="003A0CFB" w:rsidP="00B84215">
            <w:pPr>
              <w:widowControl/>
              <w:jc w:val="center"/>
            </w:pPr>
            <w:r w:rsidRPr="00201C1C">
              <w:rPr>
                <w:rFonts w:hint="eastAsia"/>
              </w:rPr>
              <w:t>违法证明</w:t>
            </w:r>
          </w:p>
        </w:tc>
        <w:tc>
          <w:tcPr>
            <w:tcW w:w="2464" w:type="pct"/>
            <w:shd w:val="clear" w:color="auto" w:fill="auto"/>
            <w:vAlign w:val="center"/>
          </w:tcPr>
          <w:p w14:paraId="6CEDC095" w14:textId="43A8370E" w:rsidR="003A0CFB" w:rsidRPr="00201C1C" w:rsidRDefault="003A0CFB" w:rsidP="006011B9">
            <w:pPr>
              <w:widowControl/>
            </w:pPr>
            <w:r w:rsidRPr="00B84215">
              <w:rPr>
                <w:rFonts w:hint="eastAsia"/>
              </w:rPr>
              <w:t>近三年内在经营活动中没有重大违法记录的声明。</w:t>
            </w:r>
          </w:p>
        </w:tc>
        <w:tc>
          <w:tcPr>
            <w:tcW w:w="352" w:type="pct"/>
            <w:shd w:val="clear" w:color="auto" w:fill="auto"/>
            <w:vAlign w:val="center"/>
          </w:tcPr>
          <w:p w14:paraId="78020531" w14:textId="3AA360D0" w:rsidR="003A0CFB" w:rsidRPr="00201C1C" w:rsidRDefault="003A0CFB"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008E2CC1"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695796A4"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41AE6284" w14:textId="77777777" w:rsidTr="006011B9">
        <w:trPr>
          <w:trHeight w:val="576"/>
        </w:trPr>
        <w:tc>
          <w:tcPr>
            <w:tcW w:w="572" w:type="pct"/>
            <w:vMerge/>
            <w:shd w:val="clear" w:color="auto" w:fill="auto"/>
            <w:vAlign w:val="center"/>
          </w:tcPr>
          <w:p w14:paraId="542F1913" w14:textId="77777777" w:rsidR="003A0CFB" w:rsidRPr="003E4B57" w:rsidRDefault="003A0CFB" w:rsidP="00E72CBC">
            <w:pPr>
              <w:widowControl/>
              <w:jc w:val="center"/>
              <w:rPr>
                <w:rFonts w:ascii="宋体" w:eastAsia="宋体" w:hAnsi="宋体" w:cs="宋体"/>
                <w:color w:val="000000"/>
                <w:kern w:val="0"/>
                <w:szCs w:val="21"/>
              </w:rPr>
            </w:pPr>
          </w:p>
        </w:tc>
        <w:tc>
          <w:tcPr>
            <w:tcW w:w="774" w:type="pct"/>
            <w:shd w:val="clear" w:color="auto" w:fill="auto"/>
            <w:vAlign w:val="center"/>
          </w:tcPr>
          <w:p w14:paraId="2DE1BDB4" w14:textId="169A7976" w:rsidR="003A0CFB" w:rsidRPr="00201C1C" w:rsidRDefault="003A0CFB" w:rsidP="00B7720F">
            <w:pPr>
              <w:widowControl/>
              <w:jc w:val="center"/>
            </w:pPr>
            <w:r>
              <w:rPr>
                <w:rFonts w:ascii="宋体" w:eastAsia="宋体" w:hAnsi="宋体" w:cs="宋体" w:hint="eastAsia"/>
                <w:color w:val="000000"/>
                <w:kern w:val="0"/>
                <w:szCs w:val="21"/>
              </w:rPr>
              <w:t>专业资质</w:t>
            </w:r>
          </w:p>
        </w:tc>
        <w:tc>
          <w:tcPr>
            <w:tcW w:w="2464" w:type="pct"/>
            <w:shd w:val="clear" w:color="auto" w:fill="auto"/>
            <w:vAlign w:val="center"/>
          </w:tcPr>
          <w:p w14:paraId="48376706" w14:textId="74263C6C" w:rsidR="003A0CFB" w:rsidRPr="00201C1C" w:rsidRDefault="003A0CFB" w:rsidP="001653CB">
            <w:pPr>
              <w:widowControl/>
            </w:pPr>
            <w:r>
              <w:rPr>
                <w:rFonts w:hint="eastAsia"/>
              </w:rPr>
              <w:t>1</w:t>
            </w:r>
            <w:r>
              <w:rPr>
                <w:rFonts w:hint="eastAsia"/>
              </w:rPr>
              <w:t>、提供有效的《危险化学品经营许可证；</w:t>
            </w:r>
            <w:r>
              <w:rPr>
                <w:rFonts w:hint="eastAsia"/>
              </w:rPr>
              <w:t>2</w:t>
            </w:r>
            <w:r>
              <w:rPr>
                <w:rFonts w:hint="eastAsia"/>
              </w:rPr>
              <w:t>、提供有效的和</w:t>
            </w:r>
            <w:r w:rsidRPr="00B84215">
              <w:rPr>
                <w:rFonts w:hint="eastAsia"/>
              </w:rPr>
              <w:t>《危险化学品道路运输经营许可证》证书复印件</w:t>
            </w:r>
            <w:r>
              <w:rPr>
                <w:rFonts w:hint="eastAsia"/>
              </w:rPr>
              <w:t>；</w:t>
            </w:r>
            <w:r w:rsidRPr="00B84215">
              <w:rPr>
                <w:rFonts w:hint="eastAsia"/>
              </w:rPr>
              <w:t>若委托第三方负责运输，则须提供第三方的有效《危险化学品道路运输经营许可证》证书复印件及相关合作证明。</w:t>
            </w:r>
          </w:p>
        </w:tc>
        <w:tc>
          <w:tcPr>
            <w:tcW w:w="352" w:type="pct"/>
            <w:shd w:val="clear" w:color="auto" w:fill="auto"/>
            <w:vAlign w:val="center"/>
          </w:tcPr>
          <w:p w14:paraId="107839B5" w14:textId="28C5DCB6" w:rsidR="003A0CFB" w:rsidRPr="00201C1C" w:rsidRDefault="003A0CFB"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6F4A9723"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1B95175F"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0F396534" w14:textId="77777777" w:rsidTr="000934E5">
        <w:trPr>
          <w:trHeight w:val="576"/>
        </w:trPr>
        <w:tc>
          <w:tcPr>
            <w:tcW w:w="572" w:type="pct"/>
            <w:vMerge/>
            <w:shd w:val="clear" w:color="auto" w:fill="auto"/>
            <w:vAlign w:val="center"/>
          </w:tcPr>
          <w:p w14:paraId="6B04155D" w14:textId="77777777" w:rsidR="003A0CFB" w:rsidRPr="003E4B57" w:rsidRDefault="003A0CFB" w:rsidP="00E72CBC">
            <w:pPr>
              <w:widowControl/>
              <w:jc w:val="center"/>
              <w:rPr>
                <w:rFonts w:ascii="宋体" w:eastAsia="宋体" w:hAnsi="宋体" w:cs="宋体"/>
                <w:color w:val="000000"/>
                <w:kern w:val="0"/>
                <w:szCs w:val="21"/>
              </w:rPr>
            </w:pPr>
          </w:p>
        </w:tc>
        <w:tc>
          <w:tcPr>
            <w:tcW w:w="774" w:type="pct"/>
            <w:shd w:val="clear" w:color="auto" w:fill="auto"/>
          </w:tcPr>
          <w:p w14:paraId="16B47079" w14:textId="7FAF80D6" w:rsidR="003A0CFB" w:rsidRPr="00201C1C" w:rsidRDefault="003A0CFB" w:rsidP="00B7720F">
            <w:pPr>
              <w:widowControl/>
              <w:jc w:val="center"/>
            </w:pPr>
            <w:r w:rsidRPr="00AA15D3">
              <w:rPr>
                <w:rFonts w:hint="eastAsia"/>
              </w:rPr>
              <w:t>失信名单</w:t>
            </w:r>
          </w:p>
        </w:tc>
        <w:tc>
          <w:tcPr>
            <w:tcW w:w="2464" w:type="pct"/>
            <w:shd w:val="clear" w:color="auto" w:fill="auto"/>
          </w:tcPr>
          <w:p w14:paraId="234B83C9" w14:textId="0AEE9EFC" w:rsidR="003A0CFB" w:rsidRPr="00201C1C" w:rsidRDefault="003A0CFB" w:rsidP="006011B9">
            <w:pPr>
              <w:widowControl/>
            </w:pPr>
            <w:r w:rsidRPr="00AA15D3">
              <w:rPr>
                <w:rFonts w:hint="eastAsia"/>
              </w:rPr>
              <w:t>供应商未被“信用中国网站”（</w:t>
            </w:r>
            <w:r w:rsidRPr="00AA15D3">
              <w:rPr>
                <w:rFonts w:hint="eastAsia"/>
              </w:rPr>
              <w:t>www.creditchina.gov.cn</w:t>
            </w:r>
            <w:r w:rsidRPr="00AA15D3">
              <w:rPr>
                <w:rFonts w:hint="eastAsia"/>
              </w:rPr>
              <w:t>）、“国家企业信用信息公示系统”（</w:t>
            </w:r>
            <w:r w:rsidRPr="00AA15D3">
              <w:rPr>
                <w:rFonts w:hint="eastAsia"/>
              </w:rPr>
              <w:t>www.gsxt.gov.cn</w:t>
            </w:r>
            <w:r w:rsidRPr="00AA15D3">
              <w:rPr>
                <w:rFonts w:hint="eastAsia"/>
              </w:rPr>
              <w:t>）列入失信名单或“黑名单”。</w:t>
            </w:r>
          </w:p>
        </w:tc>
        <w:tc>
          <w:tcPr>
            <w:tcW w:w="352" w:type="pct"/>
            <w:shd w:val="clear" w:color="auto" w:fill="auto"/>
            <w:vAlign w:val="center"/>
          </w:tcPr>
          <w:p w14:paraId="230B87D8" w14:textId="41BB4A86" w:rsidR="003A0CFB" w:rsidRPr="00201C1C" w:rsidRDefault="00626BAD"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0C672A6F"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6CD3AA4E"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34D53824" w14:textId="77777777" w:rsidTr="006011B9">
        <w:trPr>
          <w:trHeight w:val="504"/>
        </w:trPr>
        <w:tc>
          <w:tcPr>
            <w:tcW w:w="572" w:type="pct"/>
            <w:vMerge/>
            <w:vAlign w:val="center"/>
            <w:hideMark/>
          </w:tcPr>
          <w:p w14:paraId="3440A171" w14:textId="77777777" w:rsidR="003A0CFB" w:rsidRPr="003E4B57" w:rsidRDefault="003A0CFB" w:rsidP="00E72CBC">
            <w:pPr>
              <w:widowControl/>
              <w:jc w:val="left"/>
              <w:rPr>
                <w:rFonts w:ascii="宋体" w:eastAsia="宋体" w:hAnsi="宋体" w:cs="宋体"/>
                <w:color w:val="000000"/>
                <w:kern w:val="0"/>
                <w:szCs w:val="21"/>
              </w:rPr>
            </w:pPr>
          </w:p>
        </w:tc>
        <w:tc>
          <w:tcPr>
            <w:tcW w:w="774" w:type="pct"/>
            <w:shd w:val="clear" w:color="auto" w:fill="auto"/>
            <w:vAlign w:val="center"/>
          </w:tcPr>
          <w:p w14:paraId="2E7E34BC" w14:textId="0E78B416" w:rsidR="003A0CFB" w:rsidRPr="00201C1C" w:rsidRDefault="003A0CFB" w:rsidP="00B7720F">
            <w:pPr>
              <w:widowControl/>
              <w:jc w:val="center"/>
              <w:rPr>
                <w:rFonts w:ascii="宋体" w:eastAsia="宋体" w:hAnsi="宋体" w:cs="宋体"/>
                <w:kern w:val="0"/>
                <w:szCs w:val="21"/>
              </w:rPr>
            </w:pPr>
            <w:r w:rsidRPr="00201C1C">
              <w:rPr>
                <w:rFonts w:ascii="宋体" w:eastAsia="宋体" w:hAnsi="宋体" w:cs="宋体"/>
                <w:kern w:val="0"/>
                <w:szCs w:val="21"/>
              </w:rPr>
              <w:t>业绩证明</w:t>
            </w:r>
          </w:p>
        </w:tc>
        <w:tc>
          <w:tcPr>
            <w:tcW w:w="2464" w:type="pct"/>
            <w:shd w:val="clear" w:color="auto" w:fill="auto"/>
            <w:vAlign w:val="center"/>
          </w:tcPr>
          <w:p w14:paraId="3AB9CB1E" w14:textId="0798FCDF" w:rsidR="003A0CFB" w:rsidRPr="00201C1C" w:rsidRDefault="003A0CFB" w:rsidP="006011B9">
            <w:pPr>
              <w:widowControl/>
              <w:rPr>
                <w:rFonts w:ascii="宋体" w:eastAsia="宋体" w:hAnsi="宋体" w:cs="宋体"/>
                <w:kern w:val="0"/>
                <w:szCs w:val="21"/>
              </w:rPr>
            </w:pPr>
            <w:r w:rsidRPr="00201C1C">
              <w:rPr>
                <w:rFonts w:hint="eastAsia"/>
              </w:rPr>
              <w:t>提供近三年类似项目的成功案例。</w:t>
            </w:r>
          </w:p>
        </w:tc>
        <w:tc>
          <w:tcPr>
            <w:tcW w:w="352" w:type="pct"/>
            <w:shd w:val="clear" w:color="auto" w:fill="auto"/>
            <w:vAlign w:val="center"/>
          </w:tcPr>
          <w:p w14:paraId="04B207EE" w14:textId="46054E19" w:rsidR="003A0CFB" w:rsidRPr="00201C1C" w:rsidRDefault="003A0CFB"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19" w:type="pct"/>
            <w:shd w:val="clear" w:color="auto" w:fill="auto"/>
            <w:vAlign w:val="center"/>
          </w:tcPr>
          <w:p w14:paraId="3CE6FA9F"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04297258"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3302A8ED" w14:textId="77777777" w:rsidTr="006011B9">
        <w:trPr>
          <w:trHeight w:val="504"/>
        </w:trPr>
        <w:tc>
          <w:tcPr>
            <w:tcW w:w="572" w:type="pct"/>
            <w:vMerge/>
            <w:vAlign w:val="center"/>
          </w:tcPr>
          <w:p w14:paraId="14B0C88D" w14:textId="77777777" w:rsidR="003A0CFB" w:rsidRPr="003E4B57" w:rsidRDefault="003A0CFB" w:rsidP="00E72CBC">
            <w:pPr>
              <w:widowControl/>
              <w:jc w:val="left"/>
              <w:rPr>
                <w:rFonts w:ascii="宋体" w:eastAsia="宋体" w:hAnsi="宋体" w:cs="宋体"/>
                <w:color w:val="000000"/>
                <w:kern w:val="0"/>
                <w:szCs w:val="21"/>
              </w:rPr>
            </w:pPr>
          </w:p>
        </w:tc>
        <w:tc>
          <w:tcPr>
            <w:tcW w:w="774" w:type="pct"/>
            <w:shd w:val="clear" w:color="auto" w:fill="auto"/>
            <w:vAlign w:val="center"/>
          </w:tcPr>
          <w:p w14:paraId="5D0A7B20" w14:textId="1C932F6A" w:rsidR="003A0CFB" w:rsidRPr="00201C1C" w:rsidRDefault="003A0CFB" w:rsidP="00B7720F">
            <w:pPr>
              <w:widowControl/>
              <w:jc w:val="center"/>
              <w:rPr>
                <w:rFonts w:ascii="宋体" w:eastAsia="宋体" w:hAnsi="宋体" w:cs="宋体"/>
                <w:kern w:val="0"/>
                <w:szCs w:val="21"/>
              </w:rPr>
            </w:pPr>
            <w:r w:rsidRPr="00201C1C">
              <w:rPr>
                <w:rFonts w:ascii="宋体" w:eastAsia="宋体" w:hAnsi="宋体" w:cs="宋体" w:hint="eastAsia"/>
                <w:kern w:val="0"/>
                <w:szCs w:val="21"/>
              </w:rPr>
              <w:t>项目人员配置</w:t>
            </w:r>
          </w:p>
        </w:tc>
        <w:tc>
          <w:tcPr>
            <w:tcW w:w="2464" w:type="pct"/>
            <w:shd w:val="clear" w:color="auto" w:fill="auto"/>
            <w:vAlign w:val="center"/>
          </w:tcPr>
          <w:p w14:paraId="76225EEA" w14:textId="5C21E9CF" w:rsidR="003A0CFB" w:rsidRPr="00201C1C" w:rsidRDefault="00626BAD" w:rsidP="006011B9">
            <w:pPr>
              <w:widowControl/>
            </w:pPr>
            <w:r w:rsidRPr="00626BAD">
              <w:rPr>
                <w:rFonts w:ascii="宋体" w:eastAsia="宋体" w:hAnsi="宋体" w:cs="宋体" w:hint="eastAsia"/>
                <w:kern w:val="0"/>
                <w:szCs w:val="21"/>
              </w:rPr>
              <w:t>现场物流配送人员≥2人，且均须具有道路运输从业人员从业资格证</w:t>
            </w:r>
            <w:r w:rsidR="003A0CFB" w:rsidRPr="00DF577B">
              <w:rPr>
                <w:rFonts w:ascii="宋体" w:eastAsia="宋体" w:hAnsi="宋体" w:cs="宋体" w:hint="eastAsia"/>
                <w:kern w:val="0"/>
                <w:szCs w:val="21"/>
              </w:rPr>
              <w:t>。</w:t>
            </w:r>
          </w:p>
        </w:tc>
        <w:tc>
          <w:tcPr>
            <w:tcW w:w="352" w:type="pct"/>
            <w:shd w:val="clear" w:color="auto" w:fill="auto"/>
          </w:tcPr>
          <w:p w14:paraId="1FA028E7" w14:textId="5D401519" w:rsidR="003A0CFB" w:rsidRPr="00201C1C" w:rsidRDefault="003A0CFB"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5E4DDCFD"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6C23C327"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68459876" w14:textId="77777777" w:rsidTr="00271EC9">
        <w:trPr>
          <w:trHeight w:val="529"/>
        </w:trPr>
        <w:tc>
          <w:tcPr>
            <w:tcW w:w="572" w:type="pct"/>
            <w:shd w:val="clear" w:color="auto" w:fill="auto"/>
            <w:vAlign w:val="center"/>
            <w:hideMark/>
          </w:tcPr>
          <w:p w14:paraId="3F0B7EC3" w14:textId="77777777" w:rsidR="003A0CFB" w:rsidRPr="003E4B57" w:rsidRDefault="003A0CFB" w:rsidP="00E72CBC">
            <w:pPr>
              <w:widowControl/>
              <w:jc w:val="center"/>
              <w:rPr>
                <w:rFonts w:ascii="宋体" w:eastAsia="宋体" w:hAnsi="宋体" w:cs="宋体"/>
                <w:color w:val="000000"/>
                <w:kern w:val="0"/>
                <w:szCs w:val="21"/>
              </w:rPr>
            </w:pPr>
            <w:bookmarkStart w:id="3" w:name="_Hlk106454033"/>
            <w:r w:rsidRPr="003E4B57">
              <w:rPr>
                <w:rFonts w:ascii="宋体" w:eastAsia="宋体" w:hAnsi="宋体" w:cs="宋体" w:hint="eastAsia"/>
                <w:color w:val="000000"/>
                <w:kern w:val="0"/>
                <w:szCs w:val="21"/>
              </w:rPr>
              <w:t>市场价格</w:t>
            </w:r>
          </w:p>
        </w:tc>
        <w:tc>
          <w:tcPr>
            <w:tcW w:w="3590" w:type="pct"/>
            <w:gridSpan w:val="3"/>
            <w:shd w:val="clear" w:color="auto" w:fill="auto"/>
            <w:vAlign w:val="center"/>
          </w:tcPr>
          <w:p w14:paraId="370ADC47" w14:textId="7ED5E87C" w:rsidR="003A0CFB" w:rsidRPr="00201C1C" w:rsidRDefault="003A0CFB" w:rsidP="00E72CBC">
            <w:pPr>
              <w:widowControl/>
              <w:jc w:val="left"/>
            </w:pPr>
          </w:p>
        </w:tc>
        <w:tc>
          <w:tcPr>
            <w:tcW w:w="419" w:type="pct"/>
            <w:shd w:val="clear" w:color="auto" w:fill="auto"/>
            <w:vAlign w:val="center"/>
          </w:tcPr>
          <w:p w14:paraId="36B156AD"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4C56FE3E" w14:textId="77777777" w:rsidR="003A0CFB" w:rsidRPr="003E4B57" w:rsidRDefault="003A0CFB" w:rsidP="00E72CBC">
            <w:pPr>
              <w:widowControl/>
              <w:jc w:val="left"/>
              <w:rPr>
                <w:rFonts w:ascii="宋体" w:eastAsia="宋体" w:hAnsi="宋体" w:cs="宋体"/>
                <w:color w:val="000000"/>
                <w:kern w:val="0"/>
                <w:szCs w:val="21"/>
              </w:rPr>
            </w:pPr>
          </w:p>
        </w:tc>
      </w:tr>
      <w:tr w:rsidR="003A0CFB" w:rsidRPr="003E4B57" w14:paraId="1E711A98" w14:textId="77777777" w:rsidTr="00271EC9">
        <w:trPr>
          <w:trHeight w:val="529"/>
        </w:trPr>
        <w:tc>
          <w:tcPr>
            <w:tcW w:w="572" w:type="pct"/>
            <w:shd w:val="clear" w:color="auto" w:fill="auto"/>
            <w:vAlign w:val="center"/>
          </w:tcPr>
          <w:p w14:paraId="76D1F155" w14:textId="1763C8EE" w:rsidR="003A0CFB" w:rsidRPr="003E4B57" w:rsidRDefault="003A0CFB" w:rsidP="00B95F0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其他参数</w:t>
            </w:r>
          </w:p>
        </w:tc>
        <w:tc>
          <w:tcPr>
            <w:tcW w:w="3238" w:type="pct"/>
            <w:gridSpan w:val="2"/>
            <w:shd w:val="clear" w:color="auto" w:fill="auto"/>
            <w:vAlign w:val="center"/>
          </w:tcPr>
          <w:p w14:paraId="73F88CF5" w14:textId="77777777" w:rsidR="003A0CFB" w:rsidRPr="00FD6932" w:rsidRDefault="003A0CFB" w:rsidP="00E72CBC">
            <w:pPr>
              <w:widowControl/>
              <w:jc w:val="left"/>
            </w:pPr>
          </w:p>
        </w:tc>
        <w:tc>
          <w:tcPr>
            <w:tcW w:w="352" w:type="pct"/>
            <w:shd w:val="clear" w:color="auto" w:fill="auto"/>
            <w:vAlign w:val="center"/>
          </w:tcPr>
          <w:p w14:paraId="6F24388C" w14:textId="53B3D390" w:rsidR="003A0CFB" w:rsidRPr="00FD6932" w:rsidRDefault="003A0CFB" w:rsidP="00CD532E">
            <w:pPr>
              <w:widowControl/>
              <w:jc w:val="center"/>
            </w:pPr>
          </w:p>
        </w:tc>
        <w:tc>
          <w:tcPr>
            <w:tcW w:w="419" w:type="pct"/>
            <w:shd w:val="clear" w:color="auto" w:fill="auto"/>
            <w:vAlign w:val="center"/>
          </w:tcPr>
          <w:p w14:paraId="5B9A37A3" w14:textId="77777777" w:rsidR="003A0CFB" w:rsidRPr="003E4B57" w:rsidRDefault="003A0CFB" w:rsidP="00E72CBC">
            <w:pPr>
              <w:widowControl/>
              <w:jc w:val="left"/>
              <w:rPr>
                <w:rFonts w:ascii="宋体" w:eastAsia="宋体" w:hAnsi="宋体" w:cs="宋体"/>
                <w:color w:val="000000"/>
                <w:kern w:val="0"/>
                <w:szCs w:val="21"/>
              </w:rPr>
            </w:pPr>
          </w:p>
        </w:tc>
        <w:tc>
          <w:tcPr>
            <w:tcW w:w="419" w:type="pct"/>
            <w:shd w:val="clear" w:color="auto" w:fill="auto"/>
            <w:vAlign w:val="center"/>
          </w:tcPr>
          <w:p w14:paraId="46554DE4" w14:textId="77777777" w:rsidR="003A0CFB" w:rsidRPr="003E4B57" w:rsidRDefault="003A0CFB" w:rsidP="00E72CBC">
            <w:pPr>
              <w:widowControl/>
              <w:jc w:val="left"/>
              <w:rPr>
                <w:rFonts w:ascii="宋体" w:eastAsia="宋体" w:hAnsi="宋体" w:cs="宋体"/>
                <w:color w:val="000000"/>
                <w:kern w:val="0"/>
                <w:szCs w:val="21"/>
              </w:rPr>
            </w:pPr>
          </w:p>
        </w:tc>
      </w:tr>
      <w:bookmarkEnd w:id="3"/>
    </w:tbl>
    <w:p w14:paraId="54B1EC36" w14:textId="0C30AB7D" w:rsidR="0005143A" w:rsidRPr="00FD6932" w:rsidRDefault="0005143A" w:rsidP="00765E57">
      <w:pPr>
        <w:spacing w:line="360" w:lineRule="auto"/>
        <w:rPr>
          <w:rFonts w:ascii="仿宋_GB2312" w:eastAsia="仿宋_GB2312"/>
          <w:sz w:val="20"/>
          <w:szCs w:val="28"/>
        </w:rPr>
      </w:pPr>
    </w:p>
    <w:sectPr w:rsidR="0005143A" w:rsidRPr="00FD6932" w:rsidSect="00033FAF">
      <w:pgSz w:w="16838" w:h="11906" w:orient="landscape"/>
      <w:pgMar w:top="568"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FF382" w14:textId="77777777" w:rsidR="00A602B7" w:rsidRDefault="00A602B7" w:rsidP="004C0FE3">
      <w:r>
        <w:separator/>
      </w:r>
    </w:p>
  </w:endnote>
  <w:endnote w:type="continuationSeparator" w:id="0">
    <w:p w14:paraId="344D845D" w14:textId="77777777" w:rsidR="00A602B7" w:rsidRDefault="00A602B7" w:rsidP="004C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23184" w14:textId="77777777" w:rsidR="00A602B7" w:rsidRDefault="00A602B7" w:rsidP="004C0FE3">
      <w:r>
        <w:separator/>
      </w:r>
    </w:p>
  </w:footnote>
  <w:footnote w:type="continuationSeparator" w:id="0">
    <w:p w14:paraId="50454E8F" w14:textId="77777777" w:rsidR="00A602B7" w:rsidRDefault="00A602B7" w:rsidP="004C0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18E"/>
    <w:multiLevelType w:val="hybridMultilevel"/>
    <w:tmpl w:val="7B865428"/>
    <w:lvl w:ilvl="0" w:tplc="95F43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9E"/>
    <w:rsid w:val="00002735"/>
    <w:rsid w:val="00011790"/>
    <w:rsid w:val="00033FAF"/>
    <w:rsid w:val="0005143A"/>
    <w:rsid w:val="00073602"/>
    <w:rsid w:val="000804CE"/>
    <w:rsid w:val="00086D46"/>
    <w:rsid w:val="000925EC"/>
    <w:rsid w:val="0009587C"/>
    <w:rsid w:val="000B18AC"/>
    <w:rsid w:val="00123BF2"/>
    <w:rsid w:val="00123DA7"/>
    <w:rsid w:val="00123DDD"/>
    <w:rsid w:val="00152C32"/>
    <w:rsid w:val="001653CB"/>
    <w:rsid w:val="0018531B"/>
    <w:rsid w:val="001858A5"/>
    <w:rsid w:val="001926CF"/>
    <w:rsid w:val="001943CD"/>
    <w:rsid w:val="001B1C94"/>
    <w:rsid w:val="001B299F"/>
    <w:rsid w:val="001B3453"/>
    <w:rsid w:val="001D666B"/>
    <w:rsid w:val="001D7728"/>
    <w:rsid w:val="001E79D3"/>
    <w:rsid w:val="00201562"/>
    <w:rsid w:val="00201C1C"/>
    <w:rsid w:val="002173C9"/>
    <w:rsid w:val="0024412C"/>
    <w:rsid w:val="00254851"/>
    <w:rsid w:val="00254EE4"/>
    <w:rsid w:val="0025544A"/>
    <w:rsid w:val="00270BF8"/>
    <w:rsid w:val="00271EC9"/>
    <w:rsid w:val="00290BDB"/>
    <w:rsid w:val="002C0A3B"/>
    <w:rsid w:val="002D649E"/>
    <w:rsid w:val="002E41C2"/>
    <w:rsid w:val="003025BE"/>
    <w:rsid w:val="00313FED"/>
    <w:rsid w:val="003262D9"/>
    <w:rsid w:val="00343687"/>
    <w:rsid w:val="00345D36"/>
    <w:rsid w:val="00364AD9"/>
    <w:rsid w:val="003A0CFB"/>
    <w:rsid w:val="003C0ABC"/>
    <w:rsid w:val="003E1D28"/>
    <w:rsid w:val="003E4958"/>
    <w:rsid w:val="003E4B57"/>
    <w:rsid w:val="003E557F"/>
    <w:rsid w:val="003E634D"/>
    <w:rsid w:val="00425379"/>
    <w:rsid w:val="00426F93"/>
    <w:rsid w:val="004570A3"/>
    <w:rsid w:val="00457D5C"/>
    <w:rsid w:val="004750DB"/>
    <w:rsid w:val="004A63D8"/>
    <w:rsid w:val="004B46D0"/>
    <w:rsid w:val="004C0FE3"/>
    <w:rsid w:val="004C581E"/>
    <w:rsid w:val="004D03B2"/>
    <w:rsid w:val="004E016A"/>
    <w:rsid w:val="00522A6E"/>
    <w:rsid w:val="00546326"/>
    <w:rsid w:val="005544FD"/>
    <w:rsid w:val="00556195"/>
    <w:rsid w:val="005621F6"/>
    <w:rsid w:val="00562ED9"/>
    <w:rsid w:val="00571D66"/>
    <w:rsid w:val="00572326"/>
    <w:rsid w:val="0057350F"/>
    <w:rsid w:val="0057653B"/>
    <w:rsid w:val="005767AA"/>
    <w:rsid w:val="005E286A"/>
    <w:rsid w:val="005F09CA"/>
    <w:rsid w:val="006011B9"/>
    <w:rsid w:val="00626BAD"/>
    <w:rsid w:val="00633653"/>
    <w:rsid w:val="0064214F"/>
    <w:rsid w:val="00650C0A"/>
    <w:rsid w:val="006630FA"/>
    <w:rsid w:val="00666163"/>
    <w:rsid w:val="006662F5"/>
    <w:rsid w:val="006724FC"/>
    <w:rsid w:val="006932A5"/>
    <w:rsid w:val="006A7442"/>
    <w:rsid w:val="006B2814"/>
    <w:rsid w:val="006C39DD"/>
    <w:rsid w:val="006C6838"/>
    <w:rsid w:val="006D1066"/>
    <w:rsid w:val="006D5EDC"/>
    <w:rsid w:val="006E4665"/>
    <w:rsid w:val="006E509A"/>
    <w:rsid w:val="006F1D70"/>
    <w:rsid w:val="00700ED2"/>
    <w:rsid w:val="00765E57"/>
    <w:rsid w:val="00767988"/>
    <w:rsid w:val="007733F2"/>
    <w:rsid w:val="007B7E93"/>
    <w:rsid w:val="007B7EE4"/>
    <w:rsid w:val="007E5B47"/>
    <w:rsid w:val="00820A19"/>
    <w:rsid w:val="00821602"/>
    <w:rsid w:val="00834C43"/>
    <w:rsid w:val="008423B4"/>
    <w:rsid w:val="008529EE"/>
    <w:rsid w:val="00852ACD"/>
    <w:rsid w:val="0087190F"/>
    <w:rsid w:val="008912AF"/>
    <w:rsid w:val="008926CF"/>
    <w:rsid w:val="0089436A"/>
    <w:rsid w:val="008961A9"/>
    <w:rsid w:val="008E3539"/>
    <w:rsid w:val="008F27B0"/>
    <w:rsid w:val="008F4595"/>
    <w:rsid w:val="00915C5C"/>
    <w:rsid w:val="00954810"/>
    <w:rsid w:val="009B694D"/>
    <w:rsid w:val="009B749E"/>
    <w:rsid w:val="009D1B49"/>
    <w:rsid w:val="00A215E4"/>
    <w:rsid w:val="00A26F42"/>
    <w:rsid w:val="00A3638E"/>
    <w:rsid w:val="00A52C2D"/>
    <w:rsid w:val="00A602B7"/>
    <w:rsid w:val="00AD3E9B"/>
    <w:rsid w:val="00B01917"/>
    <w:rsid w:val="00B11B15"/>
    <w:rsid w:val="00B4120F"/>
    <w:rsid w:val="00B46535"/>
    <w:rsid w:val="00B53AD8"/>
    <w:rsid w:val="00B54989"/>
    <w:rsid w:val="00B7720F"/>
    <w:rsid w:val="00B84215"/>
    <w:rsid w:val="00B95F08"/>
    <w:rsid w:val="00BA0628"/>
    <w:rsid w:val="00BA429E"/>
    <w:rsid w:val="00BA709D"/>
    <w:rsid w:val="00BC66AD"/>
    <w:rsid w:val="00BD582A"/>
    <w:rsid w:val="00BE1B94"/>
    <w:rsid w:val="00BE3153"/>
    <w:rsid w:val="00BE37CF"/>
    <w:rsid w:val="00BF06B4"/>
    <w:rsid w:val="00BF71F3"/>
    <w:rsid w:val="00C95E15"/>
    <w:rsid w:val="00CA17F6"/>
    <w:rsid w:val="00CA3C98"/>
    <w:rsid w:val="00CB19C8"/>
    <w:rsid w:val="00CC05CF"/>
    <w:rsid w:val="00CC5135"/>
    <w:rsid w:val="00CD532E"/>
    <w:rsid w:val="00CD72C4"/>
    <w:rsid w:val="00CD76F3"/>
    <w:rsid w:val="00CE5597"/>
    <w:rsid w:val="00CE7495"/>
    <w:rsid w:val="00CF6073"/>
    <w:rsid w:val="00D10CD8"/>
    <w:rsid w:val="00D136AE"/>
    <w:rsid w:val="00D62315"/>
    <w:rsid w:val="00D71E7F"/>
    <w:rsid w:val="00D87D24"/>
    <w:rsid w:val="00D96D8F"/>
    <w:rsid w:val="00D96DFB"/>
    <w:rsid w:val="00DA3333"/>
    <w:rsid w:val="00DF3753"/>
    <w:rsid w:val="00DF577B"/>
    <w:rsid w:val="00E25493"/>
    <w:rsid w:val="00E453CE"/>
    <w:rsid w:val="00E4715C"/>
    <w:rsid w:val="00E61DFE"/>
    <w:rsid w:val="00E756ED"/>
    <w:rsid w:val="00E8112B"/>
    <w:rsid w:val="00EB4923"/>
    <w:rsid w:val="00EB73EE"/>
    <w:rsid w:val="00EC0D8D"/>
    <w:rsid w:val="00EF5366"/>
    <w:rsid w:val="00F023C0"/>
    <w:rsid w:val="00F101EB"/>
    <w:rsid w:val="00F1697D"/>
    <w:rsid w:val="00F30600"/>
    <w:rsid w:val="00F44B3B"/>
    <w:rsid w:val="00F6369A"/>
    <w:rsid w:val="00F66573"/>
    <w:rsid w:val="00F807E5"/>
    <w:rsid w:val="00F8313D"/>
    <w:rsid w:val="00F93C77"/>
    <w:rsid w:val="00F94744"/>
    <w:rsid w:val="00FB0284"/>
    <w:rsid w:val="00FB07DD"/>
    <w:rsid w:val="00FC7B17"/>
    <w:rsid w:val="00FD1898"/>
    <w:rsid w:val="00FD33A9"/>
    <w:rsid w:val="00FD6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F0B1"/>
  <w15:docId w15:val="{FEA490C3-BA2F-4FC5-A1F0-19ADB053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F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0FE3"/>
    <w:rPr>
      <w:sz w:val="18"/>
      <w:szCs w:val="18"/>
    </w:rPr>
  </w:style>
  <w:style w:type="paragraph" w:styleId="a5">
    <w:name w:val="footer"/>
    <w:basedOn w:val="a"/>
    <w:link w:val="a6"/>
    <w:uiPriority w:val="99"/>
    <w:unhideWhenUsed/>
    <w:rsid w:val="004C0FE3"/>
    <w:pPr>
      <w:tabs>
        <w:tab w:val="center" w:pos="4153"/>
        <w:tab w:val="right" w:pos="8306"/>
      </w:tabs>
      <w:snapToGrid w:val="0"/>
      <w:jc w:val="left"/>
    </w:pPr>
    <w:rPr>
      <w:sz w:val="18"/>
      <w:szCs w:val="18"/>
    </w:rPr>
  </w:style>
  <w:style w:type="character" w:customStyle="1" w:styleId="a6">
    <w:name w:val="页脚 字符"/>
    <w:basedOn w:val="a0"/>
    <w:link w:val="a5"/>
    <w:uiPriority w:val="99"/>
    <w:rsid w:val="004C0FE3"/>
    <w:rPr>
      <w:sz w:val="18"/>
      <w:szCs w:val="18"/>
    </w:rPr>
  </w:style>
  <w:style w:type="table" w:styleId="a7">
    <w:name w:val="Table Grid"/>
    <w:basedOn w:val="a1"/>
    <w:uiPriority w:val="59"/>
    <w:rsid w:val="004C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B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4273">
      <w:bodyDiv w:val="1"/>
      <w:marLeft w:val="0"/>
      <w:marRight w:val="0"/>
      <w:marTop w:val="0"/>
      <w:marBottom w:val="0"/>
      <w:divBdr>
        <w:top w:val="none" w:sz="0" w:space="0" w:color="auto"/>
        <w:left w:val="none" w:sz="0" w:space="0" w:color="auto"/>
        <w:bottom w:val="none" w:sz="0" w:space="0" w:color="auto"/>
        <w:right w:val="none" w:sz="0" w:space="0" w:color="auto"/>
      </w:divBdr>
    </w:div>
    <w:div w:id="633218141">
      <w:bodyDiv w:val="1"/>
      <w:marLeft w:val="0"/>
      <w:marRight w:val="0"/>
      <w:marTop w:val="0"/>
      <w:marBottom w:val="0"/>
      <w:divBdr>
        <w:top w:val="none" w:sz="0" w:space="0" w:color="auto"/>
        <w:left w:val="none" w:sz="0" w:space="0" w:color="auto"/>
        <w:bottom w:val="none" w:sz="0" w:space="0" w:color="auto"/>
        <w:right w:val="none" w:sz="0" w:space="0" w:color="auto"/>
      </w:divBdr>
    </w:div>
    <w:div w:id="1037895990">
      <w:bodyDiv w:val="1"/>
      <w:marLeft w:val="0"/>
      <w:marRight w:val="0"/>
      <w:marTop w:val="0"/>
      <w:marBottom w:val="0"/>
      <w:divBdr>
        <w:top w:val="none" w:sz="0" w:space="0" w:color="auto"/>
        <w:left w:val="none" w:sz="0" w:space="0" w:color="auto"/>
        <w:bottom w:val="none" w:sz="0" w:space="0" w:color="auto"/>
        <w:right w:val="none" w:sz="0" w:space="0" w:color="auto"/>
      </w:divBdr>
    </w:div>
    <w:div w:id="1246648774">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2</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shca</dc:creator>
  <cp:keywords/>
  <dc:description/>
  <cp:lastModifiedBy>shca</cp:lastModifiedBy>
  <cp:revision>159</cp:revision>
  <dcterms:created xsi:type="dcterms:W3CDTF">2021-12-27T00:58:00Z</dcterms:created>
  <dcterms:modified xsi:type="dcterms:W3CDTF">2026-06-03T06:31:00Z</dcterms:modified>
</cp:coreProperties>
</file>