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425A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bookmarkStart w:id="0" w:name="OLE_LINK59"/>
      <w:bookmarkStart w:id="1" w:name="OLE_LINK60"/>
      <w:r>
        <w:rPr>
          <w:rFonts w:ascii="宋体" w:hAnsi="宋体" w:cs="宋体" w:hint="eastAsia"/>
          <w:b/>
          <w:color w:val="000000"/>
          <w:sz w:val="24"/>
        </w:rPr>
        <w:t>项目名称</w:t>
      </w:r>
    </w:p>
    <w:p w14:paraId="6E93B876" w14:textId="77777777" w:rsidR="001B390D" w:rsidRDefault="00951884">
      <w:pPr>
        <w:pStyle w:val="a3"/>
        <w:ind w:firstLineChars="200" w:firstLine="480"/>
      </w:pPr>
      <w:r>
        <w:rPr>
          <w:rFonts w:hint="eastAsia"/>
          <w:szCs w:val="21"/>
        </w:rPr>
        <w:t>网络安全保险服务</w:t>
      </w:r>
    </w:p>
    <w:bookmarkEnd w:id="0"/>
    <w:bookmarkEnd w:id="1"/>
    <w:p w14:paraId="20ED5C1A" w14:textId="77777777" w:rsidR="001B390D" w:rsidRDefault="001B390D"/>
    <w:p w14:paraId="7ABDF2DA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总体要求</w:t>
      </w:r>
    </w:p>
    <w:p w14:paraId="70174140" w14:textId="77777777" w:rsidR="001B390D" w:rsidRDefault="0095188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贯彻落实国家及上级单位安全要求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sz w:val="24"/>
        </w:rPr>
        <w:t>以患者及医护人员为中心、以内部需求及外部要求为导向，积极创新和探索，为提高医疗服务效率、优化就医流程、提升管理精细度提供信息化保障。</w:t>
      </w:r>
      <w:r>
        <w:rPr>
          <w:rFonts w:ascii="宋体" w:hAnsi="宋体" w:cs="宋体" w:hint="eastAsia"/>
          <w:kern w:val="0"/>
          <w:sz w:val="24"/>
        </w:rPr>
        <w:t>以保障信息系统安全性为目标，开展网络安全保险。</w:t>
      </w:r>
    </w:p>
    <w:p w14:paraId="64F6BC50" w14:textId="77777777" w:rsidR="001B390D" w:rsidRDefault="001B390D">
      <w:pPr>
        <w:spacing w:line="360" w:lineRule="auto"/>
      </w:pPr>
    </w:p>
    <w:p w14:paraId="168AD7ED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服务</w:t>
      </w:r>
      <w:r>
        <w:rPr>
          <w:rFonts w:ascii="宋体" w:hAnsi="宋体" w:cs="宋体" w:hint="eastAsia"/>
          <w:b/>
          <w:color w:val="000000"/>
          <w:sz w:val="24"/>
        </w:rPr>
        <w:t>/</w:t>
      </w:r>
      <w:r>
        <w:rPr>
          <w:rFonts w:ascii="宋体" w:hAnsi="宋体" w:cs="宋体" w:hint="eastAsia"/>
          <w:b/>
          <w:color w:val="000000"/>
          <w:sz w:val="24"/>
        </w:rPr>
        <w:t>运维对象及地点</w:t>
      </w:r>
    </w:p>
    <w:p w14:paraId="59C9197C" w14:textId="77777777" w:rsidR="001B390D" w:rsidRDefault="00951884">
      <w:pPr>
        <w:pStyle w:val="a3"/>
        <w:spacing w:line="360" w:lineRule="auto"/>
        <w:ind w:firstLineChars="200" w:firstLine="480"/>
      </w:pPr>
      <w:r>
        <w:rPr>
          <w:rFonts w:hint="eastAsia"/>
        </w:rPr>
        <w:t>复旦大学附属肿瘤医院</w:t>
      </w:r>
    </w:p>
    <w:p w14:paraId="0FE2B028" w14:textId="77777777" w:rsidR="001B390D" w:rsidRDefault="001B390D">
      <w:pPr>
        <w:spacing w:line="360" w:lineRule="auto"/>
      </w:pPr>
    </w:p>
    <w:p w14:paraId="6D8A5154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服务周期</w:t>
      </w:r>
    </w:p>
    <w:p w14:paraId="6A168407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周期：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个月</w:t>
      </w:r>
    </w:p>
    <w:p w14:paraId="088A24B5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起止日期：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026.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.1-2027.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.3</w:t>
      </w:r>
      <w:r>
        <w:rPr>
          <w:rFonts w:hint="eastAsia"/>
          <w:sz w:val="24"/>
          <w:szCs w:val="24"/>
        </w:rPr>
        <w:t>1</w:t>
      </w:r>
    </w:p>
    <w:p w14:paraId="32C8FD6D" w14:textId="77777777" w:rsidR="001B390D" w:rsidRDefault="001B390D"/>
    <w:p w14:paraId="66DEE587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bookmarkStart w:id="2" w:name="OLE_LINK69"/>
      <w:bookmarkStart w:id="3" w:name="OLE_LINK84"/>
      <w:r>
        <w:rPr>
          <w:rFonts w:ascii="宋体" w:hAnsi="宋体" w:cs="宋体" w:hint="eastAsia"/>
          <w:b/>
          <w:color w:val="000000"/>
          <w:sz w:val="24"/>
        </w:rPr>
        <w:t>服务及维护清单</w:t>
      </w:r>
    </w:p>
    <w:bookmarkEnd w:id="2"/>
    <w:bookmarkEnd w:id="3"/>
    <w:p w14:paraId="25CA7404" w14:textId="77777777" w:rsidR="001B390D" w:rsidRDefault="001B390D"/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615"/>
        <w:gridCol w:w="850"/>
        <w:gridCol w:w="1146"/>
        <w:gridCol w:w="1105"/>
        <w:gridCol w:w="3545"/>
        <w:gridCol w:w="901"/>
      </w:tblGrid>
      <w:tr w:rsidR="001B390D" w14:paraId="155D8A98" w14:textId="77777777">
        <w:tc>
          <w:tcPr>
            <w:tcW w:w="615" w:type="dxa"/>
          </w:tcPr>
          <w:p w14:paraId="683E498C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850" w:type="dxa"/>
          </w:tcPr>
          <w:p w14:paraId="55EBB0C7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服务名称</w:t>
            </w:r>
          </w:p>
        </w:tc>
        <w:tc>
          <w:tcPr>
            <w:tcW w:w="1146" w:type="dxa"/>
          </w:tcPr>
          <w:p w14:paraId="73C994CF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描述</w:t>
            </w:r>
          </w:p>
        </w:tc>
        <w:tc>
          <w:tcPr>
            <w:tcW w:w="1105" w:type="dxa"/>
          </w:tcPr>
          <w:p w14:paraId="56126CE0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数量</w:t>
            </w:r>
          </w:p>
        </w:tc>
        <w:tc>
          <w:tcPr>
            <w:tcW w:w="3545" w:type="dxa"/>
          </w:tcPr>
          <w:p w14:paraId="7A8EDB64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901" w:type="dxa"/>
          </w:tcPr>
          <w:p w14:paraId="4E41EC7C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指标重要性</w:t>
            </w:r>
          </w:p>
        </w:tc>
      </w:tr>
      <w:tr w:rsidR="001B390D" w14:paraId="376BAA31" w14:textId="77777777">
        <w:trPr>
          <w:trHeight w:val="655"/>
        </w:trPr>
        <w:tc>
          <w:tcPr>
            <w:tcW w:w="615" w:type="dxa"/>
            <w:vMerge w:val="restart"/>
          </w:tcPr>
          <w:p w14:paraId="657C0EE5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0" w:type="dxa"/>
            <w:vMerge w:val="restart"/>
          </w:tcPr>
          <w:p w14:paraId="6F883357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bookmarkStart w:id="4" w:name="OLE_LINK1"/>
            <w:bookmarkStart w:id="5" w:name="OLE_LINK2"/>
            <w:r>
              <w:rPr>
                <w:rFonts w:hint="eastAsia"/>
                <w:szCs w:val="21"/>
              </w:rPr>
              <w:t>网络安全保险服务</w:t>
            </w:r>
            <w:bookmarkEnd w:id="4"/>
            <w:bookmarkEnd w:id="5"/>
          </w:p>
        </w:tc>
        <w:tc>
          <w:tcPr>
            <w:tcW w:w="1146" w:type="dxa"/>
            <w:vMerge w:val="restart"/>
          </w:tcPr>
          <w:p w14:paraId="5CE3EB68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应市卫健委要求，开展卫生健康行业网络安全保险服务的试点</w:t>
            </w:r>
          </w:p>
        </w:tc>
        <w:tc>
          <w:tcPr>
            <w:tcW w:w="1105" w:type="dxa"/>
            <w:vMerge w:val="restart"/>
          </w:tcPr>
          <w:p w14:paraId="3055FA7D" w14:textId="77777777" w:rsidR="001B390D" w:rsidRDefault="00951884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3545" w:type="dxa"/>
          </w:tcPr>
          <w:p w14:paraId="4F59604A" w14:textId="7A3F0181" w:rsidR="001B390D" w:rsidRDefault="00951884" w:rsidP="00966AC7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营业中断损失：在保单保险期间或载明的追溯期内因发生网络安全事故，造成投保系统全部或部分中断，导致</w:t>
            </w:r>
            <w:r w:rsidR="00966AC7">
              <w:rPr>
                <w:rFonts w:hint="eastAsia"/>
                <w:szCs w:val="21"/>
              </w:rPr>
              <w:t>医院运营</w:t>
            </w:r>
            <w:r>
              <w:rPr>
                <w:rFonts w:hint="eastAsia"/>
                <w:szCs w:val="21"/>
              </w:rPr>
              <w:t>受到干扰或中断，由此而产生的赔偿期内的毛利润损失，按照约定的标准负责赔偿。</w:t>
            </w:r>
          </w:p>
        </w:tc>
        <w:tc>
          <w:tcPr>
            <w:tcW w:w="901" w:type="dxa"/>
          </w:tcPr>
          <w:p w14:paraId="60C8C40C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</w:tr>
      <w:tr w:rsidR="001B390D" w14:paraId="755C2A9C" w14:textId="77777777">
        <w:trPr>
          <w:trHeight w:val="653"/>
        </w:trPr>
        <w:tc>
          <w:tcPr>
            <w:tcW w:w="615" w:type="dxa"/>
            <w:vMerge/>
          </w:tcPr>
          <w:p w14:paraId="5F22071C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6C0D4025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46" w:type="dxa"/>
            <w:vMerge/>
          </w:tcPr>
          <w:p w14:paraId="59EE8092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05" w:type="dxa"/>
            <w:vMerge/>
          </w:tcPr>
          <w:p w14:paraId="7BE2472E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3545" w:type="dxa"/>
          </w:tcPr>
          <w:p w14:paraId="31C96BFA" w14:textId="69DBF6BD" w:rsidR="001B390D" w:rsidRDefault="00966AC7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网络勒索损失：医院</w:t>
            </w:r>
            <w:r w:rsidR="00951884">
              <w:rPr>
                <w:rFonts w:hint="eastAsia"/>
                <w:szCs w:val="21"/>
              </w:rPr>
              <w:t>在保险期间或保险单载明的追溯期内，因计算机系统遭受安全威胁造成的勒索损失。</w:t>
            </w:r>
          </w:p>
        </w:tc>
        <w:tc>
          <w:tcPr>
            <w:tcW w:w="901" w:type="dxa"/>
          </w:tcPr>
          <w:p w14:paraId="54B8EA46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</w:tr>
      <w:tr w:rsidR="001B390D" w14:paraId="7BC45C45" w14:textId="77777777">
        <w:trPr>
          <w:trHeight w:val="653"/>
        </w:trPr>
        <w:tc>
          <w:tcPr>
            <w:tcW w:w="615" w:type="dxa"/>
            <w:vMerge/>
          </w:tcPr>
          <w:p w14:paraId="43317B29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72F3BA9A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46" w:type="dxa"/>
            <w:vMerge/>
          </w:tcPr>
          <w:p w14:paraId="77C868E7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05" w:type="dxa"/>
            <w:vMerge/>
          </w:tcPr>
          <w:p w14:paraId="68F64CD5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3545" w:type="dxa"/>
          </w:tcPr>
          <w:p w14:paraId="59798F34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其他损失：</w:t>
            </w:r>
            <w:r>
              <w:rPr>
                <w:rFonts w:hint="eastAsia"/>
                <w:szCs w:val="21"/>
              </w:rPr>
              <w:tab/>
            </w:r>
          </w:p>
          <w:p w14:paraId="59C0C10C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1.</w:t>
            </w:r>
            <w:r>
              <w:rPr>
                <w:rFonts w:hint="eastAsia"/>
                <w:szCs w:val="21"/>
              </w:rPr>
              <w:t>评估数据是否能够恢复、重建或重新收集的费用；</w:t>
            </w:r>
          </w:p>
          <w:p w14:paraId="061B049D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恢复、重建或重新收集数据的费用；</w:t>
            </w:r>
          </w:p>
          <w:p w14:paraId="74DF7B87" w14:textId="3BB38573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966AC7">
              <w:rPr>
                <w:rFonts w:hint="eastAsia"/>
                <w:szCs w:val="21"/>
              </w:rPr>
              <w:t>从医院</w:t>
            </w:r>
            <w:r>
              <w:rPr>
                <w:rFonts w:hint="eastAsia"/>
                <w:szCs w:val="21"/>
              </w:rPr>
              <w:t>的计算机系统移除恶意软件或程序的费用；</w:t>
            </w:r>
          </w:p>
        </w:tc>
        <w:tc>
          <w:tcPr>
            <w:tcW w:w="901" w:type="dxa"/>
          </w:tcPr>
          <w:p w14:paraId="74AB90F5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△</w:t>
            </w:r>
          </w:p>
        </w:tc>
      </w:tr>
      <w:tr w:rsidR="001B390D" w14:paraId="22385AA4" w14:textId="77777777">
        <w:trPr>
          <w:trHeight w:val="653"/>
        </w:trPr>
        <w:tc>
          <w:tcPr>
            <w:tcW w:w="615" w:type="dxa"/>
            <w:vMerge/>
          </w:tcPr>
          <w:p w14:paraId="7BA55A68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51F15274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46" w:type="dxa"/>
            <w:vMerge/>
          </w:tcPr>
          <w:p w14:paraId="324B1A57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1105" w:type="dxa"/>
            <w:vMerge/>
          </w:tcPr>
          <w:p w14:paraId="5598A83E" w14:textId="77777777" w:rsidR="001B390D" w:rsidRDefault="001B390D">
            <w:pPr>
              <w:pStyle w:val="a9"/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3545" w:type="dxa"/>
          </w:tcPr>
          <w:p w14:paraId="0800794A" w14:textId="059FD4B7" w:rsidR="001B390D" w:rsidRDefault="00966AC7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事故响应费用，当投保标的遭受网络安全事件，医院</w:t>
            </w:r>
            <w:bookmarkStart w:id="6" w:name="_GoBack"/>
            <w:bookmarkEnd w:id="6"/>
            <w:r w:rsidR="00951884">
              <w:rPr>
                <w:rFonts w:hint="eastAsia"/>
                <w:szCs w:val="21"/>
              </w:rPr>
              <w:t>为了快速处理，所发生的下列费用在赔偿限额内：</w:t>
            </w:r>
          </w:p>
          <w:p w14:paraId="56B7190B" w14:textId="77777777" w:rsidR="001B390D" w:rsidRDefault="0095188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名誉恢复公关费用。</w:t>
            </w:r>
          </w:p>
          <w:p w14:paraId="4AFE06E6" w14:textId="77777777" w:rsidR="001B390D" w:rsidRDefault="0095188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通知费用。</w:t>
            </w:r>
          </w:p>
          <w:p w14:paraId="68352901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监测费用。</w:t>
            </w:r>
          </w:p>
        </w:tc>
        <w:tc>
          <w:tcPr>
            <w:tcW w:w="901" w:type="dxa"/>
          </w:tcPr>
          <w:p w14:paraId="38DCE649" w14:textId="77777777" w:rsidR="001B390D" w:rsidRDefault="00951884">
            <w:pPr>
              <w:pStyle w:val="a9"/>
              <w:spacing w:line="360" w:lineRule="auto"/>
              <w:ind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</w:tr>
    </w:tbl>
    <w:p w14:paraId="7403C84F" w14:textId="77777777" w:rsidR="001B390D" w:rsidRDefault="001B390D"/>
    <w:p w14:paraId="6C4FF950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bookmarkStart w:id="7" w:name="OLE_LINK90"/>
      <w:r>
        <w:rPr>
          <w:rFonts w:ascii="宋体" w:hAnsi="宋体" w:cs="宋体" w:hint="eastAsia"/>
          <w:b/>
          <w:color w:val="000000"/>
          <w:sz w:val="24"/>
        </w:rPr>
        <w:t>服务</w:t>
      </w:r>
      <w:r>
        <w:rPr>
          <w:rFonts w:ascii="宋体" w:hAnsi="宋体" w:cs="宋体" w:hint="eastAsia"/>
          <w:b/>
          <w:color w:val="000000"/>
          <w:sz w:val="24"/>
        </w:rPr>
        <w:t>/</w:t>
      </w:r>
      <w:r>
        <w:rPr>
          <w:rFonts w:ascii="宋体" w:hAnsi="宋体" w:cs="宋体" w:hint="eastAsia"/>
          <w:b/>
          <w:color w:val="000000"/>
          <w:sz w:val="24"/>
        </w:rPr>
        <w:t>维护要求及方式</w:t>
      </w:r>
    </w:p>
    <w:bookmarkEnd w:id="7"/>
    <w:p w14:paraId="0539D42C" w14:textId="77777777" w:rsidR="001B390D" w:rsidRDefault="009518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．项目实施要求</w:t>
      </w:r>
    </w:p>
    <w:p w14:paraId="087252AD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投标人有固定的售后服务团队。</w:t>
      </w:r>
    </w:p>
    <w:p w14:paraId="0C889D34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投标人针对本项目的人员配置，需要提供有关人员学历、从业经验、相关资质证书等证明文件。</w:t>
      </w:r>
    </w:p>
    <w:p w14:paraId="26BFBF4C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投标人应本着认真负责态度，组织技术队伍，认真做好项目的实施工作。在签订合同前，提出具体实施、服务的措施计划和承诺。</w:t>
      </w:r>
    </w:p>
    <w:p w14:paraId="086C9DD6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投标人必须提供项目实施计划，经招标人同意后，严格执行。如果遇到问题，由项目组提出项目变更说明，经医院和投标人确定后，修改计划。</w:t>
      </w:r>
    </w:p>
    <w:p w14:paraId="31BD68D6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投标人应负责在项目验收时将项目的全部有关技术文件、资料、及安装、测试、验收报告等文档汇集成册交付招标人。</w:t>
      </w:r>
    </w:p>
    <w:p w14:paraId="5E530D9D" w14:textId="77777777" w:rsidR="001B390D" w:rsidRDefault="001B390D"/>
    <w:p w14:paraId="28883F7A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bookmarkStart w:id="8" w:name="OLE_LINK94"/>
      <w:r>
        <w:rPr>
          <w:rFonts w:ascii="宋体" w:hAnsi="宋体" w:cs="宋体" w:hint="eastAsia"/>
          <w:b/>
          <w:color w:val="000000"/>
          <w:sz w:val="24"/>
        </w:rPr>
        <w:t>投入人员</w:t>
      </w:r>
    </w:p>
    <w:bookmarkEnd w:id="8"/>
    <w:p w14:paraId="23B38398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项目在通过验收前必须现场留驻至少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名实施人员。</w:t>
      </w:r>
    </w:p>
    <w:p w14:paraId="279E9016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医院有权根据实施情况要求更换项目经理和实施人员。</w:t>
      </w:r>
    </w:p>
    <w:p w14:paraId="07FC88F5" w14:textId="77777777" w:rsidR="001B390D" w:rsidRDefault="009518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对投标人项目经理等级和实施人员基本要求：要求投标人针对本项目成立项目小组，在响应文件中提供书面名单，人员一旦得到医院确认，无特殊理由不得随意变动，且项目经理未得到医院同</w:t>
      </w:r>
      <w:r>
        <w:rPr>
          <w:rFonts w:hint="eastAsia"/>
          <w:sz w:val="24"/>
          <w:szCs w:val="24"/>
        </w:rPr>
        <w:t>意的情况下不得随意更换。</w:t>
      </w:r>
    </w:p>
    <w:p w14:paraId="610E5F3B" w14:textId="77777777" w:rsidR="001B390D" w:rsidRDefault="001B390D"/>
    <w:p w14:paraId="1832D13F" w14:textId="77777777" w:rsidR="001B390D" w:rsidRDefault="001B390D"/>
    <w:p w14:paraId="2ED47569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bookmarkStart w:id="9" w:name="OLE_LINK100"/>
      <w:r>
        <w:rPr>
          <w:rFonts w:ascii="宋体" w:hAnsi="宋体" w:cs="宋体" w:hint="eastAsia"/>
          <w:b/>
          <w:color w:val="000000"/>
          <w:sz w:val="24"/>
        </w:rPr>
        <w:t>服务</w:t>
      </w:r>
      <w:r>
        <w:rPr>
          <w:rFonts w:ascii="宋体" w:hAnsi="宋体" w:cs="宋体" w:hint="eastAsia"/>
          <w:b/>
          <w:color w:val="000000"/>
          <w:sz w:val="24"/>
        </w:rPr>
        <w:t>/</w:t>
      </w:r>
      <w:r>
        <w:rPr>
          <w:rFonts w:ascii="宋体" w:hAnsi="宋体" w:cs="宋体" w:hint="eastAsia"/>
          <w:b/>
          <w:color w:val="000000"/>
          <w:sz w:val="24"/>
        </w:rPr>
        <w:t>运维价格是否一次谈判三年有效</w:t>
      </w:r>
    </w:p>
    <w:bookmarkEnd w:id="9"/>
    <w:p w14:paraId="531B92E8" w14:textId="77777777" w:rsidR="001B390D" w:rsidRDefault="001B390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8AEE349" w14:textId="77777777" w:rsidR="001B390D" w:rsidRDefault="00951884">
      <w:pPr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否</w:t>
      </w:r>
    </w:p>
    <w:p w14:paraId="0542AD22" w14:textId="77777777" w:rsidR="001B390D" w:rsidRDefault="001B390D"/>
    <w:p w14:paraId="561EBD92" w14:textId="77777777" w:rsidR="001B390D" w:rsidRDefault="00951884">
      <w:pPr>
        <w:pStyle w:val="a9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其他要求</w:t>
      </w:r>
    </w:p>
    <w:p w14:paraId="05A8993A" w14:textId="77777777" w:rsidR="001B390D" w:rsidRDefault="001B390D"/>
    <w:p w14:paraId="45DDAA59" w14:textId="77777777" w:rsidR="001B390D" w:rsidRDefault="0095188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，投标人承诺在实施和维护过程中，任何涉及医院的信息，包括但不限于医院数据、医院特有的功能需求等，未得到医院同意的情况下不得对任何第三方展示、举例乃至销售，否则投标人将承担由此产生的一切后果。</w:t>
      </w:r>
    </w:p>
    <w:p w14:paraId="51FF8AD1" w14:textId="77777777" w:rsidR="001B390D" w:rsidRDefault="001B390D"/>
    <w:p w14:paraId="38F88C81" w14:textId="77777777" w:rsidR="001B390D" w:rsidRDefault="001B390D"/>
    <w:p w14:paraId="41F6F582" w14:textId="77777777" w:rsidR="001B390D" w:rsidRDefault="00951884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hint="eastAsia"/>
        </w:rPr>
        <w:t>*</w:t>
      </w:r>
      <w:r>
        <w:rPr>
          <w:rFonts w:ascii="仿宋_GB2312" w:eastAsia="仿宋_GB2312" w:hint="eastAsia"/>
          <w:sz w:val="20"/>
          <w:szCs w:val="28"/>
        </w:rPr>
        <w:t>指标按重要性分为“★”、“☆”、“</w:t>
      </w:r>
      <w:r>
        <w:rPr>
          <w:rFonts w:ascii="仿宋_GB2312" w:eastAsia="仿宋_GB2312" w:hint="eastAsia"/>
          <w:sz w:val="20"/>
          <w:szCs w:val="28"/>
        </w:rPr>
        <w:t>#</w:t>
      </w:r>
      <w:r>
        <w:rPr>
          <w:rFonts w:ascii="仿宋_GB2312" w:eastAsia="仿宋_GB2312" w:hint="eastAsia"/>
          <w:sz w:val="20"/>
          <w:szCs w:val="28"/>
        </w:rPr>
        <w:t>”和“△”。★代表实质性指标，不满足该指标项将导致投标被拒绝，☆代表优质优价指标，</w:t>
      </w:r>
      <w:bookmarkStart w:id="10" w:name="OLE_LINK74"/>
      <w:bookmarkStart w:id="11" w:name="OLE_LINK75"/>
      <w:r>
        <w:rPr>
          <w:rFonts w:ascii="仿宋_GB2312" w:eastAsia="仿宋_GB2312" w:hint="eastAsia"/>
          <w:sz w:val="20"/>
          <w:szCs w:val="28"/>
        </w:rPr>
        <w:t>#</w:t>
      </w:r>
      <w:bookmarkEnd w:id="10"/>
      <w:bookmarkEnd w:id="11"/>
      <w:r>
        <w:rPr>
          <w:rFonts w:ascii="仿宋_GB2312" w:eastAsia="仿宋_GB2312" w:hint="eastAsia"/>
          <w:sz w:val="20"/>
          <w:szCs w:val="28"/>
        </w:rPr>
        <w:t>代表重要指标，</w:t>
      </w:r>
      <w:bookmarkStart w:id="12" w:name="OLE_LINK72"/>
      <w:r>
        <w:rPr>
          <w:rFonts w:ascii="仿宋_GB2312" w:eastAsia="仿宋_GB2312" w:hint="eastAsia"/>
          <w:sz w:val="20"/>
          <w:szCs w:val="28"/>
        </w:rPr>
        <w:t>△</w:t>
      </w:r>
      <w:bookmarkEnd w:id="12"/>
      <w:r>
        <w:rPr>
          <w:rFonts w:ascii="仿宋_GB2312" w:eastAsia="仿宋_GB2312" w:hint="eastAsia"/>
          <w:sz w:val="20"/>
          <w:szCs w:val="28"/>
        </w:rPr>
        <w:t>则表示一般指标项。</w:t>
      </w:r>
    </w:p>
    <w:p w14:paraId="392F68C3" w14:textId="77777777" w:rsidR="001B390D" w:rsidRDefault="001B390D"/>
    <w:sectPr w:rsidR="001B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D223" w14:textId="77777777" w:rsidR="00951884" w:rsidRDefault="00951884" w:rsidP="00966AC7">
      <w:r>
        <w:separator/>
      </w:r>
    </w:p>
  </w:endnote>
  <w:endnote w:type="continuationSeparator" w:id="0">
    <w:p w14:paraId="36AF7775" w14:textId="77777777" w:rsidR="00951884" w:rsidRDefault="00951884" w:rsidP="0096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6686" w14:textId="77777777" w:rsidR="00951884" w:rsidRDefault="00951884" w:rsidP="00966AC7">
      <w:r>
        <w:separator/>
      </w:r>
    </w:p>
  </w:footnote>
  <w:footnote w:type="continuationSeparator" w:id="0">
    <w:p w14:paraId="46190AA3" w14:textId="77777777" w:rsidR="00951884" w:rsidRDefault="00951884" w:rsidP="00966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6F3B"/>
    <w:multiLevelType w:val="multilevel"/>
    <w:tmpl w:val="46416F3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48"/>
    <w:rsid w:val="00075901"/>
    <w:rsid w:val="000D7337"/>
    <w:rsid w:val="001B390D"/>
    <w:rsid w:val="001C2648"/>
    <w:rsid w:val="00560FBA"/>
    <w:rsid w:val="00694B48"/>
    <w:rsid w:val="006B62DB"/>
    <w:rsid w:val="00810CBF"/>
    <w:rsid w:val="00951884"/>
    <w:rsid w:val="00966AC7"/>
    <w:rsid w:val="009C0388"/>
    <w:rsid w:val="00A20607"/>
    <w:rsid w:val="00A50508"/>
    <w:rsid w:val="00C40654"/>
    <w:rsid w:val="00E22B7E"/>
    <w:rsid w:val="00F3336A"/>
    <w:rsid w:val="613437F8"/>
    <w:rsid w:val="78D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27338"/>
  <w15:docId w15:val="{8B2FF06A-6245-4C68-AAE9-0370679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unhideWhenUsed/>
    <w:qFormat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shca</cp:lastModifiedBy>
  <cp:revision>7</cp:revision>
  <dcterms:created xsi:type="dcterms:W3CDTF">2026-02-02T05:43:00Z</dcterms:created>
  <dcterms:modified xsi:type="dcterms:W3CDTF">2026-06-23T09:22:00Z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eyJoZGlkIjoiMmU1ZTY3Y2IwYTEzNDBhMmQ2YWRiNDVmODgwNzQ1YjQiLCJ1c2VySWQiOiIxNDgyMzc4NzUzIn0=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5388C9632386451CA0DA5E8B21D55E0C_12</vt:lpwstr>
  </property>
</Properties>
</file>