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B20" w:rsidRPr="00E14B20" w:rsidRDefault="00E14B20" w:rsidP="00E14B20">
      <w:pPr>
        <w:pStyle w:val="ds-markdown-paragraph"/>
        <w:shd w:val="clear" w:color="auto" w:fill="FFFFFF"/>
        <w:spacing w:before="0" w:beforeAutospacing="0" w:after="0" w:afterAutospacing="0"/>
        <w:ind w:firstLineChars="200" w:firstLine="482"/>
        <w:jc w:val="center"/>
        <w:rPr>
          <w:rFonts w:cs="Times New Roman"/>
          <w:b/>
          <w:kern w:val="2"/>
        </w:rPr>
      </w:pPr>
      <w:r w:rsidRPr="00E14B20">
        <w:rPr>
          <w:rFonts w:cs="Times New Roman" w:hint="eastAsia"/>
          <w:b/>
          <w:kern w:val="2"/>
        </w:rPr>
        <w:t>内容提要及特点比较</w:t>
      </w:r>
    </w:p>
    <w:p w:rsidR="00185858" w:rsidRDefault="00E14B20" w:rsidP="00185858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rFonts w:cs="Times New Roman"/>
          <w:kern w:val="2"/>
        </w:rPr>
      </w:pPr>
      <w:r>
        <w:rPr>
          <w:rFonts w:cs="Times New Roman" w:hint="eastAsia"/>
          <w:kern w:val="2"/>
        </w:rPr>
        <w:t>本系列丛书内容提要：</w:t>
      </w:r>
    </w:p>
    <w:p w:rsidR="00E620E4" w:rsidRPr="00E14B20" w:rsidRDefault="00E620E4" w:rsidP="0018585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Chars="200" w:firstLine="480"/>
        <w:jc w:val="both"/>
        <w:rPr>
          <w:rFonts w:cs="Times New Roman"/>
          <w:kern w:val="2"/>
        </w:rPr>
      </w:pPr>
      <w:r w:rsidRPr="00E14B20">
        <w:rPr>
          <w:rFonts w:cs="Times New Roman" w:hint="eastAsia"/>
          <w:kern w:val="2"/>
        </w:rPr>
        <w:t>本书聚焦于恶性肿瘤生物资源平台（肿瘤生物样本库）的日常操作与规范化管理，系统阐述了从样本采集、运输、接收、处理、存储、质量检测到信息管理及分发使用的全环节标准操作规程（SOPs）。全书以国际标准化组织（ISO）生物样本库质量管理体系及我国人类遗传资源管理相关法规为依据，结合恶性肿瘤样本的特殊性（如肿瘤异质性、坏死率控制、取材时效性等），为样本库从业人员提供一套科学、规范、可复用的操作技术方案。</w:t>
      </w:r>
    </w:p>
    <w:p w:rsidR="00E620E4" w:rsidRPr="00E14B20" w:rsidRDefault="00E620E4" w:rsidP="00E14B20">
      <w:pPr>
        <w:pStyle w:val="ds-markdown-paragraph"/>
        <w:shd w:val="clear" w:color="auto" w:fill="FFFFFF"/>
        <w:spacing w:before="0" w:beforeAutospacing="0" w:after="0" w:afterAutospacing="0" w:line="360" w:lineRule="auto"/>
        <w:ind w:firstLineChars="200" w:firstLine="480"/>
        <w:jc w:val="both"/>
        <w:rPr>
          <w:rFonts w:cs="Times New Roman"/>
          <w:kern w:val="2"/>
        </w:rPr>
      </w:pPr>
      <w:r w:rsidRPr="00E14B20">
        <w:rPr>
          <w:rFonts w:cs="Times New Roman" w:hint="eastAsia"/>
          <w:kern w:val="2"/>
        </w:rPr>
        <w:t>内容涵盖：样本采集与处理规程、冻存与复苏操作规程、病理质控标准、设备维护与环境监测规程、标签标识与信息化管理规程、生物安全与废弃物处置规程、突发事件应急预案等。每项规程均按照“目的—范围—职责—操作步骤—注意事项—相关记录”的标准格式编写，便于实验室直接引用和培训。此外，本书还重点阐述了伦理审查与知情同意操作流程、人类遗传资源合规管理要求以及样本出库与科研使用的审批程序。</w:t>
      </w:r>
    </w:p>
    <w:p w:rsidR="000D51EF" w:rsidRDefault="00E620E4" w:rsidP="00E14B20">
      <w:pPr>
        <w:spacing w:line="360" w:lineRule="auto"/>
        <w:rPr>
          <w:sz w:val="24"/>
        </w:rPr>
      </w:pPr>
      <w:r w:rsidRPr="00E14B20">
        <w:rPr>
          <w:rFonts w:hint="eastAsia"/>
          <w:sz w:val="24"/>
        </w:rPr>
        <w:t>本书兼顾操作性与规范性，旨在帮助各类肿瘤生物资源平台建立统一、严谨的标准操作规程，确保生物样本的真实性、完整性及可重复性，为肿瘤基础研究、转化医学及精准医疗提供高质量的资源支撑。</w:t>
      </w:r>
    </w:p>
    <w:p w:rsidR="00E14B20" w:rsidRPr="00E14B20" w:rsidRDefault="00185858" w:rsidP="00E14B20">
      <w:pPr>
        <w:spacing w:line="360" w:lineRule="auto"/>
        <w:rPr>
          <w:sz w:val="24"/>
        </w:rPr>
      </w:pPr>
      <w:r>
        <w:rPr>
          <w:rFonts w:hint="eastAsia"/>
          <w:sz w:val="24"/>
        </w:rPr>
        <w:t>二、</w:t>
      </w:r>
      <w:r w:rsidR="00E14B20">
        <w:rPr>
          <w:rFonts w:hint="eastAsia"/>
          <w:sz w:val="24"/>
        </w:rPr>
        <w:t>特点比较：</w:t>
      </w:r>
    </w:p>
    <w:p w:rsidR="00E620E4" w:rsidRPr="00E14B20" w:rsidRDefault="00E620E4" w:rsidP="00E14B20">
      <w:pPr>
        <w:numPr>
          <w:ilvl w:val="0"/>
          <w:numId w:val="1"/>
        </w:numPr>
        <w:spacing w:line="360" w:lineRule="auto"/>
        <w:ind w:left="357" w:hanging="357"/>
        <w:rPr>
          <w:rFonts w:ascii="宋体" w:hAnsi="宋体"/>
          <w:sz w:val="24"/>
        </w:rPr>
      </w:pPr>
      <w:r w:rsidRPr="00E14B20">
        <w:rPr>
          <w:rFonts w:ascii="宋体" w:hAnsi="宋体" w:hint="eastAsia"/>
          <w:sz w:val="24"/>
        </w:rPr>
        <w:t>国内外同类书出版情况（代表性图书、出版社等）</w:t>
      </w:r>
    </w:p>
    <w:p w:rsidR="00E620E4" w:rsidRPr="00E14B20" w:rsidRDefault="00E620E4" w:rsidP="00E14B20">
      <w:pPr>
        <w:spacing w:line="360" w:lineRule="auto"/>
        <w:rPr>
          <w:rFonts w:ascii="宋体" w:hAnsi="宋体"/>
          <w:sz w:val="24"/>
        </w:rPr>
      </w:pPr>
      <w:r w:rsidRPr="00E14B20">
        <w:rPr>
          <w:rFonts w:ascii="宋体" w:hAnsi="宋体" w:hint="eastAsia"/>
          <w:sz w:val="24"/>
        </w:rPr>
        <w:t>《恶性肿瘤生物样本库标准操作流程》（杜祥、孙孟红主编，复旦大学出版社，2016年9月出版</w:t>
      </w:r>
    </w:p>
    <w:p w:rsidR="00E620E4" w:rsidRPr="00E14B20" w:rsidRDefault="00E620E4" w:rsidP="00E14B20">
      <w:pPr>
        <w:numPr>
          <w:ilvl w:val="0"/>
          <w:numId w:val="1"/>
        </w:numPr>
        <w:spacing w:line="360" w:lineRule="auto"/>
        <w:ind w:left="357" w:hanging="357"/>
        <w:rPr>
          <w:rFonts w:ascii="宋体" w:hAnsi="宋体"/>
          <w:sz w:val="24"/>
        </w:rPr>
      </w:pPr>
      <w:r w:rsidRPr="00E14B20">
        <w:rPr>
          <w:rFonts w:ascii="宋体" w:hAnsi="宋体" w:hint="eastAsia"/>
          <w:sz w:val="24"/>
        </w:rPr>
        <w:t>本书与同类书比较分析（本书特点或创新之处等）（必填）</w:t>
      </w:r>
    </w:p>
    <w:p w:rsidR="00E620E4" w:rsidRDefault="00E620E4" w:rsidP="00E14B20">
      <w:pPr>
        <w:spacing w:line="360" w:lineRule="auto"/>
        <w:rPr>
          <w:rFonts w:ascii="宋体" w:hAnsi="宋体"/>
          <w:sz w:val="24"/>
        </w:rPr>
      </w:pPr>
      <w:r w:rsidRPr="00E14B20">
        <w:rPr>
          <w:rFonts w:ascii="宋体" w:hAnsi="宋体" w:hint="eastAsia"/>
          <w:sz w:val="24"/>
        </w:rPr>
        <w:t>本书与2016年复旦版《恶性肿瘤生物样本库标准操作流程》相比具有四大创新：一是内容更新，全面纳入近十年新出台的《生物安全法》、人类遗传资源管理细则及ISO 20387:2018国际标准；二是范围拓展，在组织、血液等传统样本基础上新增类器官、PDX模型等“生物样本活库”相关内容；三是结构优化，参照ISO 20387对“人、机、料、法、环”五大要素的要求重构体系框架，更契合当前CNAS认可与ISO</w:t>
      </w:r>
      <w:r w:rsidR="009F7F6F">
        <w:rPr>
          <w:rFonts w:ascii="宋体" w:hAnsi="宋体" w:hint="eastAsia"/>
          <w:sz w:val="24"/>
        </w:rPr>
        <w:t>体系认证需求；四是体系</w:t>
      </w:r>
      <w:r w:rsidRPr="00E14B20">
        <w:rPr>
          <w:rFonts w:ascii="宋体" w:hAnsi="宋体" w:hint="eastAsia"/>
          <w:sz w:val="24"/>
        </w:rPr>
        <w:t>规范，每项规程统一采用“目的—范围—职责—操作步骤—注意事项—相关记录”的标准格式编写，工具书属性更强。</w:t>
      </w:r>
    </w:p>
    <w:p w:rsidR="00185858" w:rsidRPr="00185858" w:rsidRDefault="00185858" w:rsidP="00185858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三、</w:t>
      </w:r>
      <w:bookmarkStart w:id="0" w:name="_GoBack"/>
      <w:bookmarkEnd w:id="0"/>
      <w:r w:rsidRPr="00185858">
        <w:rPr>
          <w:rFonts w:hint="eastAsia"/>
          <w:sz w:val="24"/>
        </w:rPr>
        <w:t>装帧方式：精装</w:t>
      </w:r>
    </w:p>
    <w:p w:rsidR="00185858" w:rsidRPr="00185858" w:rsidRDefault="00185858" w:rsidP="00185858">
      <w:pPr>
        <w:spacing w:line="360" w:lineRule="auto"/>
        <w:rPr>
          <w:rFonts w:hint="eastAsia"/>
          <w:sz w:val="24"/>
        </w:rPr>
      </w:pPr>
      <w:r w:rsidRPr="00185858">
        <w:rPr>
          <w:rFonts w:hint="eastAsia"/>
          <w:sz w:val="24"/>
        </w:rPr>
        <w:lastRenderedPageBreak/>
        <w:t>开本：</w:t>
      </w:r>
      <w:r w:rsidRPr="00185858">
        <w:rPr>
          <w:rFonts w:hint="eastAsia"/>
          <w:sz w:val="24"/>
        </w:rPr>
        <w:t>188mm*260mm</w:t>
      </w:r>
    </w:p>
    <w:p w:rsidR="00185858" w:rsidRPr="00185858" w:rsidRDefault="00185858" w:rsidP="00185858">
      <w:pPr>
        <w:spacing w:line="360" w:lineRule="auto"/>
        <w:rPr>
          <w:rFonts w:hint="eastAsia"/>
          <w:sz w:val="24"/>
        </w:rPr>
      </w:pPr>
      <w:r w:rsidRPr="00185858">
        <w:rPr>
          <w:rFonts w:hint="eastAsia"/>
          <w:sz w:val="24"/>
        </w:rPr>
        <w:t>数量：</w:t>
      </w:r>
      <w:r w:rsidRPr="00185858">
        <w:rPr>
          <w:rFonts w:hint="eastAsia"/>
          <w:sz w:val="24"/>
        </w:rPr>
        <w:t>2000</w:t>
      </w:r>
      <w:r w:rsidRPr="00185858">
        <w:rPr>
          <w:rFonts w:hint="eastAsia"/>
          <w:sz w:val="24"/>
        </w:rPr>
        <w:t>册</w:t>
      </w:r>
    </w:p>
    <w:p w:rsidR="00185858" w:rsidRPr="00185858" w:rsidRDefault="00185858" w:rsidP="00185858">
      <w:pPr>
        <w:spacing w:line="360" w:lineRule="auto"/>
        <w:rPr>
          <w:rFonts w:hint="eastAsia"/>
          <w:sz w:val="24"/>
        </w:rPr>
      </w:pPr>
      <w:r w:rsidRPr="00185858">
        <w:rPr>
          <w:rFonts w:hint="eastAsia"/>
          <w:sz w:val="24"/>
        </w:rPr>
        <w:t>印刷：封面</w:t>
      </w:r>
      <w:r w:rsidRPr="00185858">
        <w:rPr>
          <w:rFonts w:hint="eastAsia"/>
          <w:sz w:val="24"/>
        </w:rPr>
        <w:t>200</w:t>
      </w:r>
      <w:r w:rsidRPr="00185858">
        <w:rPr>
          <w:rFonts w:hint="eastAsia"/>
          <w:sz w:val="24"/>
        </w:rPr>
        <w:t>克铜版纸，四色印刷。内页为</w:t>
      </w:r>
      <w:r w:rsidRPr="00185858">
        <w:rPr>
          <w:rFonts w:hint="eastAsia"/>
          <w:sz w:val="24"/>
        </w:rPr>
        <w:t>70</w:t>
      </w:r>
      <w:r w:rsidRPr="00185858">
        <w:rPr>
          <w:rFonts w:hint="eastAsia"/>
          <w:sz w:val="24"/>
        </w:rPr>
        <w:t>克胶版纸，正文单色印刷，</w:t>
      </w:r>
      <w:r w:rsidRPr="00185858">
        <w:rPr>
          <w:rFonts w:hint="eastAsia"/>
          <w:sz w:val="24"/>
        </w:rPr>
        <w:t>18</w:t>
      </w:r>
      <w:r w:rsidRPr="00185858">
        <w:rPr>
          <w:rFonts w:hint="eastAsia"/>
          <w:sz w:val="24"/>
        </w:rPr>
        <w:t>～</w:t>
      </w:r>
      <w:r w:rsidRPr="00185858">
        <w:rPr>
          <w:rFonts w:hint="eastAsia"/>
          <w:sz w:val="24"/>
        </w:rPr>
        <w:t>20</w:t>
      </w:r>
      <w:r w:rsidRPr="00185858">
        <w:rPr>
          <w:rFonts w:hint="eastAsia"/>
          <w:sz w:val="24"/>
        </w:rPr>
        <w:t>印张。</w:t>
      </w:r>
    </w:p>
    <w:p w:rsidR="00185858" w:rsidRPr="00185858" w:rsidRDefault="00185858" w:rsidP="00185858">
      <w:pPr>
        <w:spacing w:line="360" w:lineRule="auto"/>
        <w:rPr>
          <w:rFonts w:hint="eastAsia"/>
          <w:sz w:val="24"/>
        </w:rPr>
      </w:pPr>
      <w:r w:rsidRPr="00185858">
        <w:rPr>
          <w:rFonts w:hint="eastAsia"/>
          <w:sz w:val="24"/>
        </w:rPr>
        <w:t>出版完成</w:t>
      </w:r>
      <w:r w:rsidRPr="00185858">
        <w:rPr>
          <w:rFonts w:hint="eastAsia"/>
          <w:sz w:val="24"/>
        </w:rPr>
        <w:t xml:space="preserve">  2027 </w:t>
      </w:r>
      <w:r w:rsidRPr="00185858">
        <w:rPr>
          <w:rFonts w:hint="eastAsia"/>
          <w:sz w:val="24"/>
        </w:rPr>
        <w:t>年</w:t>
      </w:r>
      <w:r w:rsidRPr="00185858">
        <w:rPr>
          <w:rFonts w:hint="eastAsia"/>
          <w:sz w:val="24"/>
        </w:rPr>
        <w:t xml:space="preserve"> 06 </w:t>
      </w:r>
      <w:r w:rsidRPr="00185858">
        <w:rPr>
          <w:rFonts w:hint="eastAsia"/>
          <w:sz w:val="24"/>
        </w:rPr>
        <w:t>月</w:t>
      </w:r>
      <w:r w:rsidRPr="00185858">
        <w:rPr>
          <w:rFonts w:hint="eastAsia"/>
          <w:sz w:val="24"/>
        </w:rPr>
        <w:t xml:space="preserve"> 30 </w:t>
      </w:r>
      <w:r w:rsidRPr="00185858">
        <w:rPr>
          <w:rFonts w:hint="eastAsia"/>
          <w:sz w:val="24"/>
        </w:rPr>
        <w:t>日前完成图书的印刷、出版</w:t>
      </w:r>
    </w:p>
    <w:p w:rsidR="00185858" w:rsidRPr="00E14B20" w:rsidRDefault="00185858" w:rsidP="00185858">
      <w:pPr>
        <w:spacing w:line="360" w:lineRule="auto"/>
        <w:rPr>
          <w:rFonts w:hint="eastAsia"/>
          <w:sz w:val="24"/>
        </w:rPr>
      </w:pPr>
      <w:r w:rsidRPr="00185858">
        <w:rPr>
          <w:rFonts w:hint="eastAsia"/>
          <w:sz w:val="24"/>
        </w:rPr>
        <w:t>资格要求：由正规出版社专业编辑三审三校后出版并提供出版物号。图书出版后，完成配送，并提供后续的宣发服务（上架宣传服务：出版社主页、出版社微博、微信等，推广发行：当当、京东、天猫、微店等上架）。</w:t>
      </w:r>
    </w:p>
    <w:sectPr w:rsidR="00185858" w:rsidRPr="00E14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593" w:rsidRDefault="00390593" w:rsidP="00E620E4">
      <w:r>
        <w:separator/>
      </w:r>
    </w:p>
  </w:endnote>
  <w:endnote w:type="continuationSeparator" w:id="0">
    <w:p w:rsidR="00390593" w:rsidRDefault="00390593" w:rsidP="00E62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593" w:rsidRDefault="00390593" w:rsidP="00E620E4">
      <w:r>
        <w:separator/>
      </w:r>
    </w:p>
  </w:footnote>
  <w:footnote w:type="continuationSeparator" w:id="0">
    <w:p w:rsidR="00390593" w:rsidRDefault="00390593" w:rsidP="00E62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92C87"/>
    <w:multiLevelType w:val="hybridMultilevel"/>
    <w:tmpl w:val="B5446E1C"/>
    <w:lvl w:ilvl="0" w:tplc="305A50A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D4F0E27"/>
    <w:multiLevelType w:val="hybridMultilevel"/>
    <w:tmpl w:val="7D189430"/>
    <w:lvl w:ilvl="0" w:tplc="0D44627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88D"/>
    <w:rsid w:val="000D51EF"/>
    <w:rsid w:val="00185858"/>
    <w:rsid w:val="0038593E"/>
    <w:rsid w:val="00390593"/>
    <w:rsid w:val="009F7F6F"/>
    <w:rsid w:val="00B835C5"/>
    <w:rsid w:val="00E14B20"/>
    <w:rsid w:val="00E620E4"/>
    <w:rsid w:val="00FE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363528"/>
  <w15:chartTrackingRefBased/>
  <w15:docId w15:val="{9A5C152F-D9C9-4808-8FC4-54CBF639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0E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0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20E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20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20E4"/>
    <w:rPr>
      <w:sz w:val="18"/>
      <w:szCs w:val="18"/>
    </w:rPr>
  </w:style>
  <w:style w:type="paragraph" w:customStyle="1" w:styleId="ds-markdown-paragraph">
    <w:name w:val="ds-markdown-paragraph"/>
    <w:basedOn w:val="a"/>
    <w:rsid w:val="00E620E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shcn</dc:creator>
  <cp:keywords/>
  <dc:description/>
  <cp:lastModifiedBy>shcn</cp:lastModifiedBy>
  <cp:revision>5</cp:revision>
  <dcterms:created xsi:type="dcterms:W3CDTF">2026-07-01T08:39:00Z</dcterms:created>
  <dcterms:modified xsi:type="dcterms:W3CDTF">2026-07-02T00:32:00Z</dcterms:modified>
</cp:coreProperties>
</file>