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FD892" w14:textId="77777777" w:rsidR="007A3978" w:rsidRDefault="00BF63D0">
      <w:pPr>
        <w:spacing w:line="360" w:lineRule="auto"/>
        <w:rPr>
          <w:rFonts w:ascii="仿宋_GB2312" w:eastAsia="仿宋_GB2312"/>
          <w:b/>
          <w:sz w:val="24"/>
          <w:szCs w:val="28"/>
        </w:rPr>
      </w:pPr>
      <w:bookmarkStart w:id="0" w:name="_Hlk106454977"/>
      <w:r>
        <w:rPr>
          <w:rFonts w:ascii="仿宋_GB2312" w:eastAsia="仿宋_GB2312" w:hint="eastAsia"/>
          <w:b/>
          <w:sz w:val="24"/>
          <w:szCs w:val="28"/>
        </w:rPr>
        <w:t xml:space="preserve">需求参数确认清单： </w:t>
      </w:r>
      <w:bookmarkStart w:id="1" w:name="_Hlk106453548"/>
      <w:r>
        <w:rPr>
          <w:rFonts w:ascii="仿宋_GB2312" w:eastAsia="仿宋_GB2312" w:hint="eastAsia"/>
          <w:sz w:val="20"/>
          <w:szCs w:val="28"/>
        </w:rPr>
        <w:t>（以下指标</w:t>
      </w:r>
      <w:r>
        <w:rPr>
          <w:rFonts w:ascii="仿宋_GB2312" w:eastAsia="仿宋_GB2312" w:hint="eastAsia"/>
          <w:b/>
          <w:color w:val="FF0000"/>
          <w:sz w:val="20"/>
          <w:szCs w:val="28"/>
        </w:rPr>
        <w:t>满足请填</w:t>
      </w:r>
      <w:r>
        <w:rPr>
          <w:rFonts w:ascii="等线" w:eastAsia="等线" w:hAnsi="等线" w:hint="eastAsia"/>
          <w:b/>
          <w:color w:val="FF0000"/>
          <w:sz w:val="20"/>
          <w:szCs w:val="28"/>
        </w:rPr>
        <w:t>√</w:t>
      </w:r>
      <w:r>
        <w:rPr>
          <w:rFonts w:ascii="仿宋_GB2312" w:eastAsia="仿宋_GB2312" w:hint="eastAsia"/>
          <w:b/>
          <w:color w:val="FF0000"/>
          <w:sz w:val="20"/>
          <w:szCs w:val="28"/>
        </w:rPr>
        <w:t>，不满足请填</w:t>
      </w:r>
      <w:r>
        <w:rPr>
          <w:rFonts w:ascii="等线" w:eastAsia="等线" w:hAnsi="等线" w:hint="eastAsia"/>
          <w:b/>
          <w:color w:val="FF0000"/>
          <w:sz w:val="20"/>
          <w:szCs w:val="28"/>
        </w:rPr>
        <w:t>◊</w:t>
      </w:r>
      <w:r>
        <w:rPr>
          <w:rFonts w:ascii="仿宋_GB2312" w:eastAsia="仿宋_GB2312" w:hint="eastAsia"/>
          <w:sz w:val="20"/>
          <w:szCs w:val="28"/>
        </w:rPr>
        <w:t>。指标按重要性分为“★”、“☆”、“#”和“△”。★代表实质性指标，不满足该指标项将导致投标被拒绝，☆代表优质优价指标，#代表重要指标，△则表示一般指标项。）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1908"/>
        <w:gridCol w:w="8925"/>
        <w:gridCol w:w="1209"/>
        <w:gridCol w:w="1100"/>
        <w:gridCol w:w="1260"/>
      </w:tblGrid>
      <w:tr w:rsidR="00170107" w:rsidRPr="00195FE7" w14:paraId="1DF9DAD5" w14:textId="77777777" w:rsidTr="00195FE7">
        <w:trPr>
          <w:trHeight w:val="605"/>
        </w:trPr>
        <w:tc>
          <w:tcPr>
            <w:tcW w:w="398" w:type="pct"/>
            <w:vAlign w:val="center"/>
          </w:tcPr>
          <w:bookmarkEnd w:id="0"/>
          <w:p w14:paraId="6916ABC7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kern w:val="0"/>
                <w:szCs w:val="21"/>
              </w:rPr>
              <w:t>/</w:t>
            </w:r>
          </w:p>
        </w:tc>
        <w:tc>
          <w:tcPr>
            <w:tcW w:w="562" w:type="pct"/>
            <w:vAlign w:val="center"/>
          </w:tcPr>
          <w:p w14:paraId="25C8D8D9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kern w:val="0"/>
                <w:szCs w:val="21"/>
              </w:rPr>
              <w:t>需求指标</w:t>
            </w:r>
          </w:p>
        </w:tc>
        <w:tc>
          <w:tcPr>
            <w:tcW w:w="2868" w:type="pct"/>
            <w:vAlign w:val="center"/>
          </w:tcPr>
          <w:p w14:paraId="2533B15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kern w:val="0"/>
                <w:szCs w:val="21"/>
              </w:rPr>
              <w:t>参数范围</w:t>
            </w:r>
          </w:p>
        </w:tc>
        <w:tc>
          <w:tcPr>
            <w:tcW w:w="397" w:type="pct"/>
            <w:vAlign w:val="center"/>
          </w:tcPr>
          <w:p w14:paraId="4B27D68F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kern w:val="0"/>
                <w:szCs w:val="21"/>
              </w:rPr>
              <w:t>指标重要性</w:t>
            </w:r>
          </w:p>
        </w:tc>
        <w:tc>
          <w:tcPr>
            <w:tcW w:w="362" w:type="pct"/>
            <w:vAlign w:val="center"/>
          </w:tcPr>
          <w:p w14:paraId="525F185F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kern w:val="0"/>
                <w:szCs w:val="21"/>
              </w:rPr>
              <w:t>是否符合</w:t>
            </w:r>
          </w:p>
        </w:tc>
        <w:tc>
          <w:tcPr>
            <w:tcW w:w="414" w:type="pct"/>
            <w:vAlign w:val="center"/>
          </w:tcPr>
          <w:p w14:paraId="2536C7F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kern w:val="0"/>
                <w:szCs w:val="21"/>
              </w:rPr>
              <w:t>材料备注页</w:t>
            </w:r>
          </w:p>
        </w:tc>
      </w:tr>
      <w:tr w:rsidR="007A3978" w:rsidRPr="00195FE7" w14:paraId="5AC7478D" w14:textId="77777777" w:rsidTr="00195FE7">
        <w:trPr>
          <w:trHeight w:val="389"/>
        </w:trPr>
        <w:tc>
          <w:tcPr>
            <w:tcW w:w="398" w:type="pct"/>
            <w:vMerge w:val="restart"/>
            <w:vAlign w:val="center"/>
          </w:tcPr>
          <w:p w14:paraId="05D47465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color w:val="000000"/>
                <w:kern w:val="0"/>
                <w:szCs w:val="21"/>
              </w:rPr>
              <w:t>技术参数</w:t>
            </w:r>
          </w:p>
        </w:tc>
        <w:tc>
          <w:tcPr>
            <w:tcW w:w="562" w:type="pct"/>
            <w:vAlign w:val="center"/>
          </w:tcPr>
          <w:p w14:paraId="4281FAC4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单细胞</w:t>
            </w:r>
            <w:bookmarkStart w:id="2" w:name="_GoBack"/>
            <w:bookmarkEnd w:id="2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组学</w:t>
            </w:r>
            <w:r w:rsidRPr="00195FE7">
              <w:rPr>
                <w:rFonts w:ascii="宋体" w:eastAsia="宋体" w:hAnsi="宋体" w:cs="仿宋" w:hint="eastAsia"/>
                <w:szCs w:val="21"/>
              </w:rPr>
              <w:t>仪器指标</w:t>
            </w:r>
          </w:p>
        </w:tc>
        <w:tc>
          <w:tcPr>
            <w:tcW w:w="2868" w:type="pct"/>
            <w:vAlign w:val="center"/>
          </w:tcPr>
          <w:p w14:paraId="65D18C26" w14:textId="77777777" w:rsidR="007A3978" w:rsidRPr="00195FE7" w:rsidRDefault="00BF63D0" w:rsidP="00195FE7">
            <w:p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 xml:space="preserve">本项目服务商应具备相关履约能力，包括但不限于：具有性能不低于10x Genomics Chromium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iX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单细胞标记建库平台；具有性能不低于Illumina 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Novaseq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 6000 高通量测序平台，支持PE150测序模式，且至少85%的碱基质量分值高于Q30，并提供证明材料（如：提供设备采购或租赁或合作证明）</w:t>
            </w:r>
          </w:p>
        </w:tc>
        <w:tc>
          <w:tcPr>
            <w:tcW w:w="397" w:type="pct"/>
            <w:vAlign w:val="center"/>
          </w:tcPr>
          <w:p w14:paraId="72DC06C2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△</w:t>
            </w:r>
          </w:p>
        </w:tc>
        <w:tc>
          <w:tcPr>
            <w:tcW w:w="362" w:type="pct"/>
            <w:vAlign w:val="center"/>
          </w:tcPr>
          <w:p w14:paraId="7DFC380F" w14:textId="6E785009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4FFF93C1" w14:textId="59C82676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6301BB7D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2A10C936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19FFD334" w14:textId="77777777" w:rsidR="007A3978" w:rsidRPr="00195FE7" w:rsidRDefault="00BF63D0" w:rsidP="00195FE7">
            <w:p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单细胞组</w:t>
            </w:r>
            <w:proofErr w:type="gramStart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学</w:t>
            </w:r>
            <w:r w:rsidRPr="00195FE7">
              <w:rPr>
                <w:rFonts w:ascii="宋体" w:eastAsia="宋体" w:hAnsi="宋体" w:cs="仿宋" w:hint="eastAsia"/>
                <w:szCs w:val="21"/>
              </w:rPr>
              <w:t>组织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解离及细胞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活性要求</w:t>
            </w:r>
            <w:proofErr w:type="gramEnd"/>
          </w:p>
        </w:tc>
        <w:tc>
          <w:tcPr>
            <w:tcW w:w="2868" w:type="pct"/>
            <w:vAlign w:val="center"/>
          </w:tcPr>
          <w:p w14:paraId="2F3A9713" w14:textId="77777777" w:rsidR="007A3978" w:rsidRPr="00195FE7" w:rsidRDefault="00BF63D0" w:rsidP="00195FE7">
            <w:pPr>
              <w:numPr>
                <w:ilvl w:val="0"/>
                <w:numId w:val="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细胞活性＞80%；</w:t>
            </w:r>
          </w:p>
          <w:p w14:paraId="7FDAAF8C" w14:textId="77777777" w:rsidR="007A3978" w:rsidRPr="00195FE7" w:rsidRDefault="00BF63D0" w:rsidP="00195FE7">
            <w:pPr>
              <w:numPr>
                <w:ilvl w:val="0"/>
                <w:numId w:val="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细胞总量＞1*10e5；</w:t>
            </w:r>
          </w:p>
          <w:p w14:paraId="42FAB47B" w14:textId="77777777" w:rsidR="007A3978" w:rsidRPr="00195FE7" w:rsidRDefault="00BF63D0" w:rsidP="00195FE7">
            <w:pPr>
              <w:numPr>
                <w:ilvl w:val="0"/>
                <w:numId w:val="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结团率＜5%；</w:t>
            </w:r>
          </w:p>
          <w:p w14:paraId="12721BA6" w14:textId="77777777" w:rsidR="007A3978" w:rsidRPr="00195FE7" w:rsidRDefault="00BF63D0" w:rsidP="00195FE7">
            <w:pPr>
              <w:numPr>
                <w:ilvl w:val="0"/>
                <w:numId w:val="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细胞浓度范围在700~1200cells/μL 之间。</w:t>
            </w:r>
          </w:p>
        </w:tc>
        <w:tc>
          <w:tcPr>
            <w:tcW w:w="397" w:type="pct"/>
            <w:vAlign w:val="center"/>
          </w:tcPr>
          <w:p w14:paraId="4CF2C26E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★</w:t>
            </w:r>
          </w:p>
        </w:tc>
        <w:tc>
          <w:tcPr>
            <w:tcW w:w="362" w:type="pct"/>
            <w:vAlign w:val="center"/>
          </w:tcPr>
          <w:p w14:paraId="1819C743" w14:textId="4DE471CB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2FFE0BE4" w14:textId="18A35AF0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2EF13A25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512F4580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1B88FD76" w14:textId="77777777" w:rsidR="007A3978" w:rsidRPr="00195FE7" w:rsidRDefault="00BF63D0" w:rsidP="00195FE7">
            <w:p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单细胞组学</w:t>
            </w:r>
            <w:r w:rsidRPr="00195FE7">
              <w:rPr>
                <w:rFonts w:ascii="宋体" w:eastAsia="宋体" w:hAnsi="宋体" w:cs="仿宋" w:hint="eastAsia"/>
                <w:szCs w:val="21"/>
              </w:rPr>
              <w:t>文库质量和数据产出要求</w:t>
            </w:r>
          </w:p>
        </w:tc>
        <w:tc>
          <w:tcPr>
            <w:tcW w:w="2868" w:type="pct"/>
            <w:vAlign w:val="center"/>
          </w:tcPr>
          <w:p w14:paraId="398C6634" w14:textId="77777777" w:rsidR="007A3978" w:rsidRPr="00195FE7" w:rsidRDefault="00BF63D0" w:rsidP="00195FE7">
            <w:pPr>
              <w:numPr>
                <w:ilvl w:val="0"/>
                <w:numId w:val="2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文库质检合格后，每个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转录组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文库测序数据量大于150G；</w:t>
            </w:r>
          </w:p>
          <w:p w14:paraId="421567FB" w14:textId="77777777" w:rsidR="007A3978" w:rsidRPr="00195FE7" w:rsidRDefault="00BF63D0" w:rsidP="00195FE7">
            <w:pPr>
              <w:numPr>
                <w:ilvl w:val="0"/>
                <w:numId w:val="2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目标捕获细胞数10000个，浮动范围在20%以内；</w:t>
            </w:r>
          </w:p>
          <w:p w14:paraId="43621B9F" w14:textId="77777777" w:rsidR="007A3978" w:rsidRPr="00195FE7" w:rsidRDefault="00BF63D0" w:rsidP="00195FE7">
            <w:pPr>
              <w:numPr>
                <w:ilvl w:val="0"/>
                <w:numId w:val="2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细胞平均reads＞20k；</w:t>
            </w:r>
          </w:p>
          <w:p w14:paraId="041671CB" w14:textId="77777777" w:rsidR="007A3978" w:rsidRPr="00195FE7" w:rsidRDefault="00BF63D0" w:rsidP="00195FE7">
            <w:pPr>
              <w:numPr>
                <w:ilvl w:val="0"/>
                <w:numId w:val="2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细胞基因中位值≥1000；</w:t>
            </w:r>
          </w:p>
          <w:p w14:paraId="2E3DC7F0" w14:textId="77777777" w:rsidR="007A3978" w:rsidRPr="00195FE7" w:rsidRDefault="00BF63D0" w:rsidP="00195FE7">
            <w:pPr>
              <w:numPr>
                <w:ilvl w:val="0"/>
                <w:numId w:val="2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测序饱和度20%~75%；</w:t>
            </w:r>
          </w:p>
          <w:p w14:paraId="0A557DBD" w14:textId="77777777" w:rsidR="007A3978" w:rsidRPr="00195FE7" w:rsidRDefault="00BF63D0" w:rsidP="00195FE7">
            <w:pPr>
              <w:numPr>
                <w:ilvl w:val="0"/>
                <w:numId w:val="2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测序数据基因组比对率≥85。</w:t>
            </w:r>
          </w:p>
        </w:tc>
        <w:tc>
          <w:tcPr>
            <w:tcW w:w="397" w:type="pct"/>
            <w:vAlign w:val="center"/>
          </w:tcPr>
          <w:p w14:paraId="0D00E18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★</w:t>
            </w:r>
          </w:p>
        </w:tc>
        <w:tc>
          <w:tcPr>
            <w:tcW w:w="362" w:type="pct"/>
            <w:vAlign w:val="center"/>
          </w:tcPr>
          <w:p w14:paraId="75D96557" w14:textId="04F17585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30119E43" w14:textId="4FEE52F6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4F81A26D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7C95A53D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13F10D7F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单细胞10×平台分析内容</w:t>
            </w:r>
          </w:p>
        </w:tc>
        <w:tc>
          <w:tcPr>
            <w:tcW w:w="2868" w:type="pct"/>
            <w:vAlign w:val="center"/>
          </w:tcPr>
          <w:p w14:paraId="2CD793AF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测序数据质量评估</w:t>
            </w:r>
          </w:p>
          <w:p w14:paraId="4DDAAEDC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基因定量质控</w:t>
            </w:r>
          </w:p>
          <w:p w14:paraId="19F96D69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基因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定量后质控</w:t>
            </w:r>
            <w:proofErr w:type="gramEnd"/>
          </w:p>
          <w:p w14:paraId="69C43393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去除批次效应</w:t>
            </w:r>
          </w:p>
          <w:p w14:paraId="4E7D8CAB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降维聚类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和可视化</w:t>
            </w:r>
          </w:p>
          <w:p w14:paraId="56CE61B1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Marker 基因鉴定与可视化</w:t>
            </w:r>
          </w:p>
          <w:p w14:paraId="7655825B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细胞类型鉴定</w:t>
            </w:r>
          </w:p>
          <w:p w14:paraId="57D15180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差异基因表达分析</w:t>
            </w:r>
          </w:p>
          <w:p w14:paraId="613ABB94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差异基因功能分析</w:t>
            </w:r>
          </w:p>
          <w:p w14:paraId="35901A49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基因集富集分析</w:t>
            </w:r>
          </w:p>
          <w:p w14:paraId="4F160788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细胞亚群鉴定</w:t>
            </w:r>
          </w:p>
          <w:p w14:paraId="054525FD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拟时序分析</w:t>
            </w:r>
          </w:p>
          <w:p w14:paraId="5C42DA06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细胞间通讯</w:t>
            </w:r>
          </w:p>
          <w:p w14:paraId="282CB01B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转录因子调控网络</w:t>
            </w:r>
          </w:p>
          <w:p w14:paraId="78E1170D" w14:textId="77777777" w:rsidR="007A3978" w:rsidRPr="00195FE7" w:rsidRDefault="00BF63D0" w:rsidP="00195FE7">
            <w:pPr>
              <w:pStyle w:val="ad"/>
              <w:numPr>
                <w:ilvl w:val="0"/>
                <w:numId w:val="3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lastRenderedPageBreak/>
              <w:t>其他个性化分析</w:t>
            </w:r>
          </w:p>
        </w:tc>
        <w:tc>
          <w:tcPr>
            <w:tcW w:w="397" w:type="pct"/>
            <w:vAlign w:val="center"/>
          </w:tcPr>
          <w:p w14:paraId="01658D61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lastRenderedPageBreak/>
              <w:t>△</w:t>
            </w:r>
          </w:p>
        </w:tc>
        <w:tc>
          <w:tcPr>
            <w:tcW w:w="362" w:type="pct"/>
            <w:vAlign w:val="center"/>
          </w:tcPr>
          <w:p w14:paraId="2FED6921" w14:textId="4079998B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41E6D4E1" w14:textId="3E36341A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0EE23648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50509978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1D892769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HD空间</w:t>
            </w:r>
            <w:proofErr w:type="gramStart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转录组</w:t>
            </w:r>
            <w:proofErr w:type="gramEnd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参数指标</w:t>
            </w:r>
          </w:p>
        </w:tc>
        <w:tc>
          <w:tcPr>
            <w:tcW w:w="2868" w:type="pct"/>
            <w:vAlign w:val="center"/>
          </w:tcPr>
          <w:p w14:paraId="2A414EA9" w14:textId="77777777" w:rsidR="007A3978" w:rsidRPr="00195FE7" w:rsidRDefault="00BF63D0" w:rsidP="00195FE7">
            <w:pPr>
              <w:ind w:firstLineChars="100" w:firstLine="21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（1）检测技术方法：二代测序</w:t>
            </w:r>
          </w:p>
          <w:p w14:paraId="7B4242E1" w14:textId="77777777" w:rsidR="007A3978" w:rsidRPr="00195FE7" w:rsidRDefault="00BF63D0" w:rsidP="00195FE7">
            <w:pPr>
              <w:ind w:firstLineChars="100" w:firstLine="21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（2）检测平台要求：DNBSEQ-T7</w:t>
            </w:r>
          </w:p>
        </w:tc>
        <w:tc>
          <w:tcPr>
            <w:tcW w:w="397" w:type="pct"/>
            <w:vAlign w:val="center"/>
          </w:tcPr>
          <w:p w14:paraId="3F0465A7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★</w:t>
            </w:r>
          </w:p>
        </w:tc>
        <w:tc>
          <w:tcPr>
            <w:tcW w:w="362" w:type="pct"/>
            <w:vAlign w:val="center"/>
          </w:tcPr>
          <w:p w14:paraId="3AD76EBC" w14:textId="0397E068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3710F640" w14:textId="14044A02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0996C280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3EF57F9D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0D886944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HD空间</w:t>
            </w:r>
            <w:proofErr w:type="gramStart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转录组</w:t>
            </w:r>
            <w:proofErr w:type="gramEnd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测序分析内容</w:t>
            </w:r>
          </w:p>
        </w:tc>
        <w:tc>
          <w:tcPr>
            <w:tcW w:w="2868" w:type="pct"/>
            <w:vAlign w:val="center"/>
          </w:tcPr>
          <w:p w14:paraId="4DBF6BCB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测序策略：双端测序PE150；</w:t>
            </w:r>
          </w:p>
          <w:p w14:paraId="6FBED8F4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测序量：FFPE 300Mreads/样本；FF 700Mreads/样本；</w:t>
            </w:r>
          </w:p>
          <w:p w14:paraId="20A265C4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 xml:space="preserve">基因比对/定量软件：10x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spaceranger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；</w:t>
            </w:r>
          </w:p>
          <w:p w14:paraId="7A5E3FF0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定量后质控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：采用全局缩放标准化方法(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LogNormalize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)；</w:t>
            </w:r>
          </w:p>
          <w:p w14:paraId="1BEE6E1E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降维聚类分析</w:t>
            </w:r>
            <w:proofErr w:type="gramEnd"/>
          </w:p>
          <w:p w14:paraId="2734F540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Marker基因筛选</w:t>
            </w:r>
          </w:p>
          <w:p w14:paraId="3D0AEF21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Marker基因热图</w:t>
            </w:r>
          </w:p>
          <w:p w14:paraId="108D5AAF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Marker基因空间可视化图</w:t>
            </w:r>
          </w:p>
          <w:p w14:paraId="16AEB21A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Marker基因小提琴图</w:t>
            </w:r>
          </w:p>
          <w:p w14:paraId="0F63AAF0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细胞类型鉴定</w:t>
            </w:r>
          </w:p>
          <w:p w14:paraId="09BC747F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差异分析</w:t>
            </w:r>
          </w:p>
          <w:p w14:paraId="0961B64C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差异比较火山图</w:t>
            </w:r>
          </w:p>
          <w:p w14:paraId="66BFFE96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差异基因聚类热图</w:t>
            </w:r>
          </w:p>
          <w:p w14:paraId="7E229D35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GO 功能富集分析（富集圈图、富集气泡图、柱形图绘制、差异富集气泡图）；</w:t>
            </w:r>
          </w:p>
          <w:p w14:paraId="0889B9C9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KEGG 功能富集分析（富集圈图、富集气泡图、柱形图绘制、差异富集气泡图）；</w:t>
            </w:r>
          </w:p>
          <w:p w14:paraId="4EBB0673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蛋白互作网络分析（PPI分析）</w:t>
            </w:r>
          </w:p>
          <w:p w14:paraId="1A18A5D6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GSEA 分析、GSVA分析</w:t>
            </w:r>
          </w:p>
          <w:p w14:paraId="3665E87A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Cellchat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细胞通讯分析、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cellphoneDB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细胞通讯分析、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Stleran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细胞通讯分析；</w:t>
            </w:r>
          </w:p>
          <w:p w14:paraId="20129BBE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Scenic分析</w:t>
            </w:r>
          </w:p>
          <w:p w14:paraId="1350DC98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Stlearn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时序分析</w:t>
            </w:r>
          </w:p>
          <w:p w14:paraId="6AE88883" w14:textId="77777777" w:rsidR="007A3978" w:rsidRPr="00195FE7" w:rsidRDefault="00BF63D0" w:rsidP="00195FE7">
            <w:pPr>
              <w:pStyle w:val="ad"/>
              <w:numPr>
                <w:ilvl w:val="0"/>
                <w:numId w:val="4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inferCNV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分析</w:t>
            </w:r>
          </w:p>
        </w:tc>
        <w:tc>
          <w:tcPr>
            <w:tcW w:w="397" w:type="pct"/>
            <w:vAlign w:val="center"/>
          </w:tcPr>
          <w:p w14:paraId="1EA46827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△</w:t>
            </w:r>
          </w:p>
        </w:tc>
        <w:tc>
          <w:tcPr>
            <w:tcW w:w="362" w:type="pct"/>
            <w:vAlign w:val="center"/>
          </w:tcPr>
          <w:p w14:paraId="4826512E" w14:textId="3C479E54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0AC072B8" w14:textId="7488B9AA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34721D3D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42BA077B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4AD2688F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b/>
                <w:bCs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全基因组外显子测序指标</w:t>
            </w:r>
          </w:p>
        </w:tc>
        <w:tc>
          <w:tcPr>
            <w:tcW w:w="2868" w:type="pct"/>
            <w:vAlign w:val="center"/>
          </w:tcPr>
          <w:p w14:paraId="1C1C739A" w14:textId="77777777" w:rsidR="007A3978" w:rsidRPr="00195FE7" w:rsidRDefault="00BF63D0" w:rsidP="00195FE7">
            <w:pPr>
              <w:numPr>
                <w:ilvl w:val="0"/>
                <w:numId w:val="5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 xml:space="preserve">完成肿瘤样本的全基因组外显子测序，对原始测序数据进行质量控制获取 clean reads，预处理软件为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fastp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。</w:t>
            </w:r>
          </w:p>
          <w:p w14:paraId="5132F7CA" w14:textId="77777777" w:rsidR="007A3978" w:rsidRPr="00195FE7" w:rsidRDefault="00BF63D0" w:rsidP="00195FE7">
            <w:pPr>
              <w:numPr>
                <w:ilvl w:val="0"/>
                <w:numId w:val="5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测序策略为双端测序PE150，测序量要求10G Raw data/样本。</w:t>
            </w:r>
          </w:p>
        </w:tc>
        <w:tc>
          <w:tcPr>
            <w:tcW w:w="397" w:type="pct"/>
            <w:vAlign w:val="center"/>
          </w:tcPr>
          <w:p w14:paraId="1C196408" w14:textId="77777777" w:rsidR="007A3978" w:rsidRPr="00195FE7" w:rsidRDefault="007A3978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66605E14" w14:textId="4CC5962A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04DBB2DB" w14:textId="2291C1D4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33D73BB4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23B2608A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7CD80F4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全基因组外显子测序分析内容</w:t>
            </w:r>
          </w:p>
        </w:tc>
        <w:tc>
          <w:tcPr>
            <w:tcW w:w="2868" w:type="pct"/>
            <w:vAlign w:val="center"/>
          </w:tcPr>
          <w:p w14:paraId="22418DBB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测序数据质量控制</w:t>
            </w:r>
          </w:p>
          <w:p w14:paraId="40984AC0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参考基因组比对</w:t>
            </w:r>
          </w:p>
          <w:p w14:paraId="4EC01159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测序覆盖深度分析</w:t>
            </w:r>
          </w:p>
          <w:p w14:paraId="389D41AE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 xml:space="preserve">SNP &amp;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InDel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鉴定、注释及统计</w:t>
            </w:r>
          </w:p>
          <w:p w14:paraId="63E1F5E2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 xml:space="preserve">SNP 与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InDel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分布分析</w:t>
            </w:r>
          </w:p>
          <w:p w14:paraId="3C338CB0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CNV 检测；</w:t>
            </w:r>
          </w:p>
          <w:p w14:paraId="1BD66476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lastRenderedPageBreak/>
              <w:t>SV 检测</w:t>
            </w:r>
          </w:p>
          <w:p w14:paraId="61F3140C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Circos</w:t>
            </w:r>
            <w:proofErr w:type="spellEnd"/>
          </w:p>
          <w:p w14:paraId="2BD51CD0" w14:textId="77777777" w:rsidR="007A3978" w:rsidRPr="00195FE7" w:rsidRDefault="00BF63D0" w:rsidP="00195FE7">
            <w:pPr>
              <w:numPr>
                <w:ilvl w:val="0"/>
                <w:numId w:val="6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肿瘤的高级分析</w:t>
            </w:r>
          </w:p>
        </w:tc>
        <w:tc>
          <w:tcPr>
            <w:tcW w:w="397" w:type="pct"/>
            <w:vAlign w:val="center"/>
          </w:tcPr>
          <w:p w14:paraId="1928736B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lastRenderedPageBreak/>
              <w:t>△</w:t>
            </w:r>
          </w:p>
        </w:tc>
        <w:tc>
          <w:tcPr>
            <w:tcW w:w="362" w:type="pct"/>
            <w:vAlign w:val="center"/>
          </w:tcPr>
          <w:p w14:paraId="465DB3C4" w14:textId="5BD0ABD1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30B18ADE" w14:textId="531EB348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0294F1FF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1B0E03BD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0624591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有参</w:t>
            </w:r>
            <w:proofErr w:type="gramStart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转录组</w:t>
            </w:r>
            <w:proofErr w:type="gramEnd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参数指标</w:t>
            </w:r>
          </w:p>
        </w:tc>
        <w:tc>
          <w:tcPr>
            <w:tcW w:w="2868" w:type="pct"/>
            <w:vAlign w:val="center"/>
          </w:tcPr>
          <w:p w14:paraId="0BE264E5" w14:textId="77777777" w:rsidR="007A3978" w:rsidRPr="00195FE7" w:rsidRDefault="00BF63D0" w:rsidP="00195FE7">
            <w:pPr>
              <w:pStyle w:val="ad"/>
              <w:numPr>
                <w:ilvl w:val="0"/>
                <w:numId w:val="7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检测技术方法：二代测序</w:t>
            </w:r>
          </w:p>
          <w:p w14:paraId="30251D86" w14:textId="77777777" w:rsidR="007A3978" w:rsidRPr="00195FE7" w:rsidRDefault="00BF63D0" w:rsidP="00195FE7">
            <w:pPr>
              <w:pStyle w:val="ad"/>
              <w:numPr>
                <w:ilvl w:val="0"/>
                <w:numId w:val="7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 xml:space="preserve">检测平台要求：Illumina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NovaSeq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X Plus、DNBSEQ-T7</w:t>
            </w:r>
          </w:p>
        </w:tc>
        <w:tc>
          <w:tcPr>
            <w:tcW w:w="397" w:type="pct"/>
            <w:vAlign w:val="center"/>
          </w:tcPr>
          <w:p w14:paraId="3C8A7CC7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△</w:t>
            </w:r>
          </w:p>
        </w:tc>
        <w:tc>
          <w:tcPr>
            <w:tcW w:w="362" w:type="pct"/>
            <w:vAlign w:val="center"/>
          </w:tcPr>
          <w:p w14:paraId="78A2AF4E" w14:textId="47309EE3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03813795" w14:textId="6F5C68E2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65F77E55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30475E9E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3F1C7932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有参</w:t>
            </w:r>
            <w:proofErr w:type="gramStart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转录组</w:t>
            </w:r>
            <w:proofErr w:type="gramEnd"/>
            <w:r w:rsidRPr="00195FE7">
              <w:rPr>
                <w:rFonts w:ascii="宋体" w:eastAsia="宋体" w:hAnsi="宋体" w:cs="仿宋" w:hint="eastAsia"/>
                <w:b/>
                <w:bCs/>
                <w:szCs w:val="21"/>
              </w:rPr>
              <w:t>测序技术参数</w:t>
            </w:r>
          </w:p>
        </w:tc>
        <w:tc>
          <w:tcPr>
            <w:tcW w:w="2868" w:type="pct"/>
            <w:vAlign w:val="center"/>
          </w:tcPr>
          <w:p w14:paraId="2230F9F1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测序策略：双端测序PE150</w:t>
            </w:r>
          </w:p>
          <w:p w14:paraId="05E3A67D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测序量：15G Raw data/样本；</w:t>
            </w:r>
          </w:p>
          <w:p w14:paraId="2E13E474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原始reads碱基质控软件：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fastp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(0.20.1)，--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length_required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50；</w:t>
            </w:r>
          </w:p>
          <w:p w14:paraId="2634C21F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原始reads质量评估软件：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fastqc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(v0.11.9)，default；</w:t>
            </w:r>
          </w:p>
          <w:p w14:paraId="452A40F7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基因比对软件：hisat2（2.1.0），--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rna-strandness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rf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--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fr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；</w:t>
            </w:r>
          </w:p>
          <w:p w14:paraId="7D3CEA2F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基因定量软件：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htseq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-count（0.11.2），-s reverse；</w:t>
            </w:r>
          </w:p>
          <w:p w14:paraId="318D9FC6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生物学重复、配对差异分析软件：DESeq2(1.22.2)，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qvalue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(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pvalue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)&lt;0.05, |log2FoldChange|&gt;1；</w:t>
            </w:r>
          </w:p>
          <w:p w14:paraId="1B4A5FBD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非生物学重复差异分析软件：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DESeq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（1.34.1），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qvalue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(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pvalue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)&lt;0.05，|log2FoldChange|&gt;1；</w:t>
            </w:r>
          </w:p>
          <w:p w14:paraId="477E0EF8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差异比较火山图；差异基因聚类热图；差异基因表达水平雷达图；</w:t>
            </w:r>
          </w:p>
          <w:p w14:paraId="3E8B631C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GO 功能富集分析（富集圈图、富集气泡图、柱形图绘制、差异富集气泡图）；</w:t>
            </w:r>
          </w:p>
          <w:p w14:paraId="3581B3A5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KEGG 功能富集分析（富集圈图、富集气泡图、柱形图绘制、差异富集气泡图）；</w:t>
            </w:r>
          </w:p>
          <w:p w14:paraId="72267CAD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蛋白互作网络分析（PPI分析，视具体物种而定）；</w:t>
            </w:r>
          </w:p>
          <w:p w14:paraId="0FCDED17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GSEA 分析；</w:t>
            </w:r>
          </w:p>
          <w:p w14:paraId="1069C1A3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转录因子及其靶基因预测分析（视具体物种而定）；</w:t>
            </w:r>
          </w:p>
          <w:p w14:paraId="7EFB4BA6" w14:textId="77777777" w:rsidR="007A3978" w:rsidRPr="00195FE7" w:rsidRDefault="00BF63D0" w:rsidP="00195FE7">
            <w:pPr>
              <w:pStyle w:val="ad"/>
              <w:numPr>
                <w:ilvl w:val="0"/>
                <w:numId w:val="8"/>
              </w:numPr>
              <w:ind w:firstLineChars="0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拥有自主研发的分析云平台，供用户后续进行自主分析。</w:t>
            </w:r>
          </w:p>
        </w:tc>
        <w:tc>
          <w:tcPr>
            <w:tcW w:w="397" w:type="pct"/>
            <w:vAlign w:val="center"/>
          </w:tcPr>
          <w:p w14:paraId="4DB88D7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△</w:t>
            </w:r>
          </w:p>
        </w:tc>
        <w:tc>
          <w:tcPr>
            <w:tcW w:w="362" w:type="pct"/>
            <w:vAlign w:val="center"/>
          </w:tcPr>
          <w:p w14:paraId="3C18BFB7" w14:textId="1AC5C2F1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1C7F9803" w14:textId="2F4C3CD0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2DFBBB80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3042D6F3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7F92DB82" w14:textId="77777777" w:rsidR="007A3978" w:rsidRPr="00195FE7" w:rsidRDefault="00BF63D0" w:rsidP="00195FE7">
            <w:p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szCs w:val="21"/>
              </w:rPr>
              <w:t>DIA定量蛋白质组学（Astral-24min）参数指标</w:t>
            </w:r>
          </w:p>
        </w:tc>
        <w:tc>
          <w:tcPr>
            <w:tcW w:w="2868" w:type="pct"/>
            <w:vAlign w:val="center"/>
          </w:tcPr>
          <w:p w14:paraId="5F805234" w14:textId="77777777" w:rsidR="007A3978" w:rsidRPr="00195FE7" w:rsidRDefault="00BF63D0" w:rsidP="00195FE7">
            <w:pPr>
              <w:numPr>
                <w:ilvl w:val="0"/>
                <w:numId w:val="9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色谱-质谱仪器：色谱仪：Vanquish neo液相系统（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ThermoFisher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）质谱仪器：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Thermo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Astral</w:t>
            </w:r>
          </w:p>
          <w:p w14:paraId="1A71AAC9" w14:textId="77777777" w:rsidR="007A3978" w:rsidRPr="00195FE7" w:rsidRDefault="00BF63D0" w:rsidP="00195FE7">
            <w:pPr>
              <w:numPr>
                <w:ilvl w:val="0"/>
                <w:numId w:val="9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检测时长：24min</w:t>
            </w:r>
          </w:p>
          <w:p w14:paraId="4DED1494" w14:textId="77777777" w:rsidR="007A3978" w:rsidRPr="00195FE7" w:rsidRDefault="00BF63D0" w:rsidP="00195FE7">
            <w:pPr>
              <w:numPr>
                <w:ilvl w:val="0"/>
                <w:numId w:val="9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检测方式：DIA质谱采集模式蛋白质组技术</w:t>
            </w:r>
          </w:p>
          <w:p w14:paraId="1F2DC16E" w14:textId="77777777" w:rsidR="007A3978" w:rsidRPr="00195FE7" w:rsidRDefault="00BF63D0" w:rsidP="00195FE7">
            <w:pPr>
              <w:numPr>
                <w:ilvl w:val="0"/>
                <w:numId w:val="9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质量误差：10ppm</w:t>
            </w:r>
          </w:p>
          <w:p w14:paraId="06F78EC9" w14:textId="77777777" w:rsidR="007A3978" w:rsidRPr="00195FE7" w:rsidRDefault="00BF63D0" w:rsidP="00195FE7">
            <w:pPr>
              <w:numPr>
                <w:ilvl w:val="0"/>
                <w:numId w:val="9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数据库要求：公共库采用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SwissProt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database _9606_Homo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sapiens_reviewed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。同时，需要具备独立自建库，自建库基于重标多肽建立的本地数据库，其库容量不少于70000条多肽，蛋白数量不少于7000种蛋白</w:t>
            </w:r>
          </w:p>
          <w:p w14:paraId="6A443D25" w14:textId="77777777" w:rsidR="007A3978" w:rsidRPr="00195FE7" w:rsidRDefault="00BF63D0" w:rsidP="00195FE7">
            <w:pPr>
              <w:numPr>
                <w:ilvl w:val="0"/>
                <w:numId w:val="9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质控要求：（1）包含每个96孔板1个标准Hela质控。（2）包含真实样品混合后分为等份的QC质控（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MixQC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），随行处理和上机，每个96孔板3个QC质控。（3）包含真实样本肽段混合后分为等份进行肽段质控（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PepQC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），每隔30例样本插入1例。（4）每个样本中加入11条外源多肽用于质控单个样本的稳定性的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iRT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质控</w:t>
            </w:r>
          </w:p>
          <w:p w14:paraId="73C8AE88" w14:textId="77777777" w:rsidR="007A3978" w:rsidRPr="00195FE7" w:rsidRDefault="00BF63D0" w:rsidP="00195FE7">
            <w:pPr>
              <w:numPr>
                <w:ilvl w:val="0"/>
                <w:numId w:val="9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质控标准：要求QC样本的CV中位数小于20%，QC样本两两相关性不小于0.95，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iRT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保留</w:t>
            </w:r>
            <w:r w:rsidRPr="00195FE7">
              <w:rPr>
                <w:rFonts w:ascii="宋体" w:eastAsia="宋体" w:hAnsi="宋体" w:cs="仿宋" w:hint="eastAsia"/>
                <w:szCs w:val="21"/>
              </w:rPr>
              <w:lastRenderedPageBreak/>
              <w:t>时间CV中位数小于10%。SPQC标准Hela质控样本蛋白鉴定数量不低于7500个。</w:t>
            </w:r>
          </w:p>
        </w:tc>
        <w:tc>
          <w:tcPr>
            <w:tcW w:w="397" w:type="pct"/>
            <w:vAlign w:val="center"/>
          </w:tcPr>
          <w:p w14:paraId="4C809A1A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lastRenderedPageBreak/>
              <w:t>△</w:t>
            </w:r>
          </w:p>
        </w:tc>
        <w:tc>
          <w:tcPr>
            <w:tcW w:w="362" w:type="pct"/>
            <w:vAlign w:val="center"/>
          </w:tcPr>
          <w:p w14:paraId="7CA4A6CA" w14:textId="02822CDA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539FA14C" w14:textId="2FD4670D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3BBE64B9" w14:textId="77777777" w:rsidTr="00195FE7">
        <w:trPr>
          <w:trHeight w:val="566"/>
        </w:trPr>
        <w:tc>
          <w:tcPr>
            <w:tcW w:w="398" w:type="pct"/>
            <w:vMerge/>
            <w:vAlign w:val="center"/>
          </w:tcPr>
          <w:p w14:paraId="26577C4C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7FF1D9B7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szCs w:val="21"/>
              </w:rPr>
              <w:t>DIA磷酸化蛋白质组参数指标</w:t>
            </w:r>
          </w:p>
        </w:tc>
        <w:tc>
          <w:tcPr>
            <w:tcW w:w="2868" w:type="pct"/>
            <w:vAlign w:val="center"/>
          </w:tcPr>
          <w:p w14:paraId="42A32999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质谱仪器：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Thermo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Orbitrap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Astral高分辨质谱，具备DIA质谱采集能力</w:t>
            </w:r>
          </w:p>
          <w:p w14:paraId="7ADCAE3F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检测方式：DIA质谱采集模式的DIA磷酸化修饰蛋白质组技术，对磷酸化修饰位点进行全谱定性定量分析</w:t>
            </w:r>
          </w:p>
          <w:p w14:paraId="722CB182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检测时长：24min</w:t>
            </w:r>
          </w:p>
          <w:p w14:paraId="19D013FF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流动相及分离：A液为0.1%甲酸水溶液，B液为0.1%甲酸/80%乙腈/20%水溶液，多步梯度洗脱</w:t>
            </w:r>
          </w:p>
          <w:p w14:paraId="776B15B4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质谱采集参数：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Orbitrap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分辨率240000，MS1扫描范围380-980 m/z，AGC target 500%；MS/MS扫描范围150-2000 m/z，隔离窗口2 m/z，HCD碰撞能25%，cycle time 0.6s</w:t>
            </w:r>
          </w:p>
          <w:p w14:paraId="447E46AC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磷酸化富集：采用磷酸化肽段富集</w:t>
            </w:r>
          </w:p>
          <w:p w14:paraId="13DDA399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内标质控：每个样品按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iRT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标准肽段:待测样品=1:20加入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iRT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内标（11条外源合成肽段，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Biognosys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），用于色谱系统校正及定量质控</w:t>
            </w:r>
          </w:p>
          <w:p w14:paraId="6FDE6885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数据解析：DIA原始数据采用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Spectronaut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软件（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Spectronaut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Pulsar，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Biognosys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）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搜库定性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定量；数据库采用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UniProt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对应物种reviewed数据库</w:t>
            </w:r>
          </w:p>
          <w:p w14:paraId="362C1860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搜库参数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：酶Trypsin/P，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最大漏切位点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2；固定修饰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Carbamidomethyl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(C)；可变修饰Oxidation(M)、Acetyl(Protein N-term)、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Phospho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(STY)；Precursor/Protein 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Qvalue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 xml:space="preserve"> cutoff均≤0.01，定量层级MS2</w:t>
            </w:r>
          </w:p>
          <w:p w14:paraId="3B01A70E" w14:textId="77777777" w:rsidR="007A3978" w:rsidRPr="00195FE7" w:rsidRDefault="00BF63D0" w:rsidP="00195FE7">
            <w:pPr>
              <w:numPr>
                <w:ilvl w:val="0"/>
                <w:numId w:val="10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质控要求：随行QC质控、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iRT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内标质控、保留时间质控、质量精度质控等</w:t>
            </w:r>
          </w:p>
        </w:tc>
        <w:tc>
          <w:tcPr>
            <w:tcW w:w="397" w:type="pct"/>
            <w:vAlign w:val="center"/>
          </w:tcPr>
          <w:p w14:paraId="10F8A6C0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△</w:t>
            </w:r>
          </w:p>
        </w:tc>
        <w:tc>
          <w:tcPr>
            <w:tcW w:w="362" w:type="pct"/>
            <w:vAlign w:val="center"/>
          </w:tcPr>
          <w:p w14:paraId="283D8D52" w14:textId="1C325694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07D457CF" w14:textId="56FF537A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2A8BBADC" w14:textId="77777777" w:rsidTr="00195FE7">
        <w:trPr>
          <w:trHeight w:val="566"/>
        </w:trPr>
        <w:tc>
          <w:tcPr>
            <w:tcW w:w="398" w:type="pct"/>
            <w:vAlign w:val="center"/>
          </w:tcPr>
          <w:p w14:paraId="27B95CF6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0D21757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b/>
                <w:szCs w:val="21"/>
              </w:rPr>
            </w:pPr>
            <w:r w:rsidRPr="00195FE7">
              <w:rPr>
                <w:rFonts w:ascii="宋体" w:eastAsia="宋体" w:hAnsi="宋体" w:cs="仿宋" w:hint="eastAsia"/>
                <w:b/>
                <w:szCs w:val="21"/>
              </w:rPr>
              <w:t>LC-MS/MS全谱代谢组（双柱-Plus）参数指标</w:t>
            </w:r>
          </w:p>
        </w:tc>
        <w:tc>
          <w:tcPr>
            <w:tcW w:w="2868" w:type="pct"/>
            <w:vAlign w:val="center"/>
          </w:tcPr>
          <w:p w14:paraId="38BA4DE0" w14:textId="77777777" w:rsidR="007A3978" w:rsidRPr="00195FE7" w:rsidRDefault="00BF63D0" w:rsidP="00195FE7">
            <w:pPr>
              <w:numPr>
                <w:ilvl w:val="0"/>
                <w:numId w:val="1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采用DDA的扫描模式对样本进行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代谢组检测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；</w:t>
            </w:r>
          </w:p>
          <w:p w14:paraId="0635AFDD" w14:textId="77777777" w:rsidR="007A3978" w:rsidRPr="00195FE7" w:rsidRDefault="00BF63D0" w:rsidP="00195FE7">
            <w:pPr>
              <w:numPr>
                <w:ilvl w:val="0"/>
                <w:numId w:val="1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采用双柱模式进行检测，其中反相体系检测单个样本的分离时长不少于15min，亲水体系检测单个样本的分离时长不少于7min，反相体系和亲水体系采用正负离子分开采集的模式，单个样本的总检测时长不少于44min；</w:t>
            </w:r>
          </w:p>
          <w:p w14:paraId="170D231A" w14:textId="77777777" w:rsidR="007A3978" w:rsidRPr="00195FE7" w:rsidRDefault="00BF63D0" w:rsidP="00195FE7">
            <w:pPr>
              <w:numPr>
                <w:ilvl w:val="0"/>
                <w:numId w:val="1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代谢物的鉴定参考国际定性标准，其中Level1与标准品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库物质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进行匹配，level1和Level2的检测物质数量不少于800个；</w:t>
            </w:r>
          </w:p>
          <w:p w14:paraId="26900811" w14:textId="77777777" w:rsidR="007A3978" w:rsidRPr="00195FE7" w:rsidRDefault="00BF63D0" w:rsidP="00195FE7">
            <w:pPr>
              <w:numPr>
                <w:ilvl w:val="0"/>
                <w:numId w:val="1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QC样本（实测样本提取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后混样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）中所有内标（不少于10个同位素内标）的信号值RSD（相对标准偏差）的中位数不超过15%；；</w:t>
            </w:r>
          </w:p>
          <w:p w14:paraId="4B5204E4" w14:textId="77777777" w:rsidR="007A3978" w:rsidRPr="00195FE7" w:rsidRDefault="00BF63D0" w:rsidP="00195FE7">
            <w:pPr>
              <w:numPr>
                <w:ilvl w:val="0"/>
                <w:numId w:val="1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QC样本（实测样本提取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后混样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）中，98%两两比较QC的R2≥0.97（R2基于未做</w:t>
            </w:r>
            <w:proofErr w:type="gramStart"/>
            <w:r w:rsidRPr="00195FE7">
              <w:rPr>
                <w:rFonts w:ascii="宋体" w:eastAsia="宋体" w:hAnsi="宋体" w:cs="仿宋" w:hint="eastAsia"/>
                <w:szCs w:val="21"/>
              </w:rPr>
              <w:t>缺失值</w:t>
            </w:r>
            <w:proofErr w:type="gramEnd"/>
            <w:r w:rsidRPr="00195FE7">
              <w:rPr>
                <w:rFonts w:ascii="宋体" w:eastAsia="宋体" w:hAnsi="宋体" w:cs="仿宋" w:hint="eastAsia"/>
                <w:szCs w:val="21"/>
              </w:rPr>
              <w:t>填充的数据进行计算）。</w:t>
            </w:r>
          </w:p>
          <w:p w14:paraId="206B4794" w14:textId="77777777" w:rsidR="007A3978" w:rsidRPr="00195FE7" w:rsidRDefault="00BF63D0" w:rsidP="00195FE7">
            <w:pPr>
              <w:numPr>
                <w:ilvl w:val="0"/>
                <w:numId w:val="11"/>
              </w:numPr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分析内容包括但不限于：质控数据分析、差异代谢物分析（（差异代谢物定性定量表、火山图、聚类热图、箱型图、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Lolipopmap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图、相关性图、KEGG富集分析、</w:t>
            </w:r>
            <w:proofErr w:type="spellStart"/>
            <w:r w:rsidRPr="00195FE7">
              <w:rPr>
                <w:rFonts w:ascii="宋体" w:eastAsia="宋体" w:hAnsi="宋体" w:cs="仿宋" w:hint="eastAsia"/>
                <w:szCs w:val="21"/>
              </w:rPr>
              <w:t>Reactome</w:t>
            </w:r>
            <w:proofErr w:type="spellEnd"/>
            <w:r w:rsidRPr="00195FE7">
              <w:rPr>
                <w:rFonts w:ascii="宋体" w:eastAsia="宋体" w:hAnsi="宋体" w:cs="仿宋" w:hint="eastAsia"/>
                <w:szCs w:val="21"/>
              </w:rPr>
              <w:t>富集分析、GSEA分析））。</w:t>
            </w:r>
          </w:p>
        </w:tc>
        <w:tc>
          <w:tcPr>
            <w:tcW w:w="397" w:type="pct"/>
            <w:vAlign w:val="center"/>
          </w:tcPr>
          <w:p w14:paraId="1B229BDC" w14:textId="77777777" w:rsidR="007A3978" w:rsidRPr="00195FE7" w:rsidRDefault="007A3978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541E1D4E" w14:textId="1A98C5CB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715D019B" w14:textId="52301B6B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328F085D" w14:textId="77777777" w:rsidTr="00195FE7">
        <w:trPr>
          <w:trHeight w:val="576"/>
        </w:trPr>
        <w:tc>
          <w:tcPr>
            <w:tcW w:w="398" w:type="pct"/>
            <w:vMerge w:val="restart"/>
            <w:vAlign w:val="center"/>
          </w:tcPr>
          <w:p w14:paraId="106368E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color w:val="000000"/>
                <w:kern w:val="0"/>
                <w:szCs w:val="21"/>
              </w:rPr>
              <w:t>商务参数</w:t>
            </w:r>
          </w:p>
        </w:tc>
        <w:tc>
          <w:tcPr>
            <w:tcW w:w="562" w:type="pct"/>
            <w:vAlign w:val="center"/>
          </w:tcPr>
          <w:p w14:paraId="50BCE5A6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投标人基本情况</w:t>
            </w:r>
          </w:p>
        </w:tc>
        <w:tc>
          <w:tcPr>
            <w:tcW w:w="2868" w:type="pct"/>
            <w:vAlign w:val="center"/>
          </w:tcPr>
          <w:p w14:paraId="79C2E8D1" w14:textId="77777777" w:rsidR="007A3978" w:rsidRPr="00195FE7" w:rsidRDefault="00BF63D0" w:rsidP="00195FE7">
            <w:pPr>
              <w:widowControl/>
              <w:jc w:val="left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1. 有效的《企业法人营业执照》或《事业单位法人证书》。</w:t>
            </w:r>
            <w:r w:rsidRPr="00195FE7">
              <w:rPr>
                <w:rFonts w:ascii="宋体" w:eastAsia="宋体" w:hAnsi="宋体" w:cs="仿宋" w:hint="eastAsia"/>
                <w:szCs w:val="21"/>
              </w:rPr>
              <w:br/>
              <w:t>2. 法定代表人授权书。</w:t>
            </w:r>
            <w:r w:rsidRPr="00195FE7">
              <w:rPr>
                <w:rFonts w:ascii="宋体" w:eastAsia="宋体" w:hAnsi="宋体" w:cs="仿宋" w:hint="eastAsia"/>
                <w:szCs w:val="21"/>
              </w:rPr>
              <w:br/>
            </w:r>
            <w:r w:rsidRPr="00195FE7">
              <w:rPr>
                <w:rFonts w:ascii="宋体" w:eastAsia="宋体" w:hAnsi="宋体" w:cs="仿宋" w:hint="eastAsia"/>
                <w:szCs w:val="21"/>
              </w:rPr>
              <w:lastRenderedPageBreak/>
              <w:t>3. 《无重大违法记录声明》。</w:t>
            </w:r>
            <w:r w:rsidRPr="00195FE7">
              <w:rPr>
                <w:rFonts w:ascii="宋体" w:eastAsia="宋体" w:hAnsi="宋体" w:cs="仿宋" w:hint="eastAsia"/>
                <w:szCs w:val="21"/>
              </w:rPr>
              <w:br/>
              <w:t>4. 近3年 类似项目业绩合同（至少3份）</w:t>
            </w:r>
          </w:p>
        </w:tc>
        <w:tc>
          <w:tcPr>
            <w:tcW w:w="397" w:type="pct"/>
            <w:vAlign w:val="center"/>
          </w:tcPr>
          <w:p w14:paraId="456AA01F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lastRenderedPageBreak/>
              <w:t>★</w:t>
            </w:r>
          </w:p>
        </w:tc>
        <w:tc>
          <w:tcPr>
            <w:tcW w:w="362" w:type="pct"/>
            <w:vAlign w:val="center"/>
          </w:tcPr>
          <w:p w14:paraId="268DAB64" w14:textId="71E8C221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23F4E4E9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34D53824" w14:textId="77777777" w:rsidTr="00195FE7">
        <w:trPr>
          <w:trHeight w:val="1156"/>
        </w:trPr>
        <w:tc>
          <w:tcPr>
            <w:tcW w:w="398" w:type="pct"/>
            <w:vMerge/>
            <w:vAlign w:val="center"/>
          </w:tcPr>
          <w:p w14:paraId="3440A171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2E7E34BC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项目团队配置</w:t>
            </w:r>
          </w:p>
        </w:tc>
        <w:tc>
          <w:tcPr>
            <w:tcW w:w="2868" w:type="pct"/>
            <w:vAlign w:val="center"/>
          </w:tcPr>
          <w:p w14:paraId="2CCD755A" w14:textId="77777777" w:rsidR="007A3978" w:rsidRPr="00195FE7" w:rsidRDefault="00BF63D0" w:rsidP="00195FE7">
            <w:pPr>
              <w:widowControl/>
              <w:jc w:val="left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拟投入本项目的人员：</w:t>
            </w:r>
          </w:p>
          <w:p w14:paraId="3AB9CB1E" w14:textId="77777777" w:rsidR="007A3978" w:rsidRPr="00195FE7" w:rsidRDefault="00BF63D0" w:rsidP="00195FE7">
            <w:pPr>
              <w:widowControl/>
              <w:jc w:val="left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拟投入人员中，具有生物学等相关专业背景的</w:t>
            </w:r>
          </w:p>
        </w:tc>
        <w:tc>
          <w:tcPr>
            <w:tcW w:w="397" w:type="pct"/>
            <w:vAlign w:val="center"/>
          </w:tcPr>
          <w:p w14:paraId="04B207EE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★</w:t>
            </w:r>
          </w:p>
        </w:tc>
        <w:tc>
          <w:tcPr>
            <w:tcW w:w="362" w:type="pct"/>
            <w:vAlign w:val="center"/>
          </w:tcPr>
          <w:p w14:paraId="3CE6FA9F" w14:textId="096C4D79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04297258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68459876" w14:textId="77777777" w:rsidTr="00195FE7">
        <w:trPr>
          <w:trHeight w:val="356"/>
        </w:trPr>
        <w:tc>
          <w:tcPr>
            <w:tcW w:w="398" w:type="pct"/>
            <w:vAlign w:val="center"/>
          </w:tcPr>
          <w:p w14:paraId="3F0B7EC3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  <w:bookmarkStart w:id="3" w:name="_Hlk106454033"/>
            <w:r w:rsidRPr="00195FE7">
              <w:rPr>
                <w:rFonts w:ascii="宋体" w:eastAsia="宋体" w:hAnsi="宋体" w:cs="仿宋" w:hint="eastAsia"/>
                <w:color w:val="000000"/>
                <w:kern w:val="0"/>
                <w:szCs w:val="21"/>
              </w:rPr>
              <w:t>市场价格</w:t>
            </w:r>
          </w:p>
        </w:tc>
        <w:tc>
          <w:tcPr>
            <w:tcW w:w="3827" w:type="pct"/>
            <w:gridSpan w:val="3"/>
          </w:tcPr>
          <w:p w14:paraId="55F0941B" w14:textId="77777777" w:rsidR="007A3978" w:rsidRPr="00195FE7" w:rsidRDefault="00BF63D0" w:rsidP="00195FE7">
            <w:pPr>
              <w:widowControl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1. 阐述价格测算方式，报价构成应透明，体现 “普通碱基费 + 纯化费 + 修饰费” 的合理组合。</w:t>
            </w:r>
            <w:r w:rsidRPr="00195FE7">
              <w:rPr>
                <w:rFonts w:ascii="宋体" w:eastAsia="宋体" w:hAnsi="宋体" w:cs="仿宋" w:hint="eastAsia"/>
                <w:szCs w:val="21"/>
              </w:rPr>
              <w:br/>
              <w:t>2. 提供 分项报价表 及 含税总报价。</w:t>
            </w:r>
            <w:r w:rsidRPr="00195FE7">
              <w:rPr>
                <w:rFonts w:ascii="宋体" w:eastAsia="宋体" w:hAnsi="宋体" w:cs="仿宋" w:hint="eastAsia"/>
                <w:szCs w:val="21"/>
              </w:rPr>
              <w:br/>
              <w:t>3. 承诺在合同期内 价格锁定，不因市场价格波动而单方面提价。</w:t>
            </w:r>
          </w:p>
        </w:tc>
        <w:tc>
          <w:tcPr>
            <w:tcW w:w="362" w:type="pct"/>
            <w:vAlign w:val="center"/>
          </w:tcPr>
          <w:p w14:paraId="36B156AD" w14:textId="1AE4DA93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4C56FE3E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1E711A98" w14:textId="77777777" w:rsidTr="00195FE7">
        <w:trPr>
          <w:trHeight w:val="419"/>
        </w:trPr>
        <w:tc>
          <w:tcPr>
            <w:tcW w:w="398" w:type="pct"/>
            <w:vMerge w:val="restart"/>
            <w:vAlign w:val="center"/>
          </w:tcPr>
          <w:p w14:paraId="76D1F155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  <w:r w:rsidRPr="00195FE7">
              <w:rPr>
                <w:rFonts w:ascii="宋体" w:eastAsia="宋体" w:hAnsi="宋体" w:cs="仿宋" w:hint="eastAsia"/>
                <w:color w:val="000000"/>
                <w:kern w:val="0"/>
                <w:szCs w:val="21"/>
              </w:rPr>
              <w:t>其他参数</w:t>
            </w:r>
          </w:p>
        </w:tc>
        <w:tc>
          <w:tcPr>
            <w:tcW w:w="562" w:type="pct"/>
            <w:vAlign w:val="center"/>
          </w:tcPr>
          <w:p w14:paraId="73F88CF5" w14:textId="77777777" w:rsidR="007A3978" w:rsidRPr="00195FE7" w:rsidRDefault="00BF63D0" w:rsidP="00195FE7">
            <w:pPr>
              <w:widowControl/>
              <w:jc w:val="left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售后服务</w:t>
            </w:r>
          </w:p>
        </w:tc>
        <w:tc>
          <w:tcPr>
            <w:tcW w:w="2868" w:type="pct"/>
            <w:vAlign w:val="center"/>
          </w:tcPr>
          <w:p w14:paraId="6A005040" w14:textId="77777777" w:rsidR="007A3978" w:rsidRPr="00195FE7" w:rsidRDefault="00BF63D0" w:rsidP="00195FE7">
            <w:pPr>
              <w:widowControl/>
              <w:jc w:val="left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高级分析部分可根据数据特征进行1-2轮迭代优化，服务商需提供免费的技术支持及个性化分析方案调整</w:t>
            </w:r>
          </w:p>
        </w:tc>
        <w:tc>
          <w:tcPr>
            <w:tcW w:w="397" w:type="pct"/>
            <w:vAlign w:val="center"/>
          </w:tcPr>
          <w:p w14:paraId="53FCE86F" w14:textId="77777777" w:rsidR="007A3978" w:rsidRPr="00195FE7" w:rsidRDefault="00BF63D0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  <w:r w:rsidRPr="00195FE7">
              <w:rPr>
                <w:rFonts w:ascii="宋体" w:eastAsia="宋体" w:hAnsi="宋体" w:cs="仿宋" w:hint="eastAsia"/>
                <w:szCs w:val="21"/>
              </w:rPr>
              <w:t>☆</w:t>
            </w:r>
          </w:p>
        </w:tc>
        <w:tc>
          <w:tcPr>
            <w:tcW w:w="362" w:type="pct"/>
            <w:vAlign w:val="center"/>
          </w:tcPr>
          <w:p w14:paraId="5B9A37A3" w14:textId="58A1F50B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46554DE4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tr w:rsidR="007A3978" w:rsidRPr="00195FE7" w14:paraId="2E067ED6" w14:textId="77777777" w:rsidTr="00195FE7">
        <w:trPr>
          <w:trHeight w:val="419"/>
        </w:trPr>
        <w:tc>
          <w:tcPr>
            <w:tcW w:w="398" w:type="pct"/>
            <w:vMerge/>
            <w:vAlign w:val="center"/>
          </w:tcPr>
          <w:p w14:paraId="7ADA0EE6" w14:textId="77777777" w:rsidR="007A3978" w:rsidRPr="00195FE7" w:rsidRDefault="007A3978" w:rsidP="00195FE7">
            <w:pPr>
              <w:widowControl/>
              <w:jc w:val="center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vAlign w:val="center"/>
          </w:tcPr>
          <w:p w14:paraId="7886247A" w14:textId="77777777" w:rsidR="007A3978" w:rsidRPr="00195FE7" w:rsidRDefault="007A3978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</w:p>
        </w:tc>
        <w:tc>
          <w:tcPr>
            <w:tcW w:w="2868" w:type="pct"/>
            <w:vAlign w:val="center"/>
          </w:tcPr>
          <w:p w14:paraId="2BFB1236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0BC8C48" w14:textId="77777777" w:rsidR="007A3978" w:rsidRPr="00195FE7" w:rsidRDefault="007A3978" w:rsidP="00195FE7">
            <w:pPr>
              <w:widowControl/>
              <w:jc w:val="center"/>
              <w:rPr>
                <w:rFonts w:ascii="宋体" w:eastAsia="宋体" w:hAnsi="宋体" w:cs="仿宋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0BBF15D9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  <w:tc>
          <w:tcPr>
            <w:tcW w:w="414" w:type="pct"/>
            <w:vAlign w:val="center"/>
          </w:tcPr>
          <w:p w14:paraId="458982FD" w14:textId="77777777" w:rsidR="007A3978" w:rsidRPr="00195FE7" w:rsidRDefault="007A3978" w:rsidP="00195FE7">
            <w:pPr>
              <w:widowControl/>
              <w:jc w:val="left"/>
              <w:rPr>
                <w:rFonts w:ascii="宋体" w:eastAsia="宋体" w:hAnsi="宋体" w:cs="仿宋"/>
                <w:color w:val="000000"/>
                <w:kern w:val="0"/>
                <w:szCs w:val="21"/>
              </w:rPr>
            </w:pPr>
          </w:p>
        </w:tc>
      </w:tr>
      <w:bookmarkEnd w:id="3"/>
    </w:tbl>
    <w:p w14:paraId="6D6587C4" w14:textId="77777777" w:rsidR="007A3978" w:rsidRDefault="007A3978">
      <w:pPr>
        <w:spacing w:line="360" w:lineRule="auto"/>
        <w:rPr>
          <w:rFonts w:ascii="仿宋_GB2312" w:eastAsia="仿宋_GB2312"/>
          <w:sz w:val="20"/>
          <w:szCs w:val="28"/>
        </w:rPr>
      </w:pPr>
    </w:p>
    <w:sectPr w:rsidR="007A3978">
      <w:pgSz w:w="16838" w:h="11906" w:orient="landscape"/>
      <w:pgMar w:top="568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FE9B64"/>
    <w:multiLevelType w:val="singleLevel"/>
    <w:tmpl w:val="87FE9B64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90A06776"/>
    <w:multiLevelType w:val="singleLevel"/>
    <w:tmpl w:val="90A06776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9429975B"/>
    <w:multiLevelType w:val="singleLevel"/>
    <w:tmpl w:val="9429975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AA0AFFE9"/>
    <w:multiLevelType w:val="singleLevel"/>
    <w:tmpl w:val="AA0AFFE9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ABD150EC"/>
    <w:multiLevelType w:val="singleLevel"/>
    <w:tmpl w:val="ABD150EC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EF109B4E"/>
    <w:multiLevelType w:val="singleLevel"/>
    <w:tmpl w:val="EF109B4E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6" w15:restartNumberingAfterBreak="0">
    <w:nsid w:val="F97819EB"/>
    <w:multiLevelType w:val="singleLevel"/>
    <w:tmpl w:val="F97819E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7" w15:restartNumberingAfterBreak="0">
    <w:nsid w:val="00706075"/>
    <w:multiLevelType w:val="singleLevel"/>
    <w:tmpl w:val="00706075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8" w15:restartNumberingAfterBreak="0">
    <w:nsid w:val="36FA527F"/>
    <w:multiLevelType w:val="singleLevel"/>
    <w:tmpl w:val="36FA527F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9" w15:restartNumberingAfterBreak="0">
    <w:nsid w:val="3ABF7F8C"/>
    <w:multiLevelType w:val="singleLevel"/>
    <w:tmpl w:val="3ABF7F8C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 w15:restartNumberingAfterBreak="0">
    <w:nsid w:val="799BA70E"/>
    <w:multiLevelType w:val="singleLevel"/>
    <w:tmpl w:val="799BA70E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1"/>
  </w:num>
  <w:num w:numId="9">
    <w:abstractNumId w:val="7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NmVmMjE5YzBjM2FjMWUzNzA3NWViYzZlNjNhZjQifQ=="/>
  </w:docVars>
  <w:rsids>
    <w:rsidRoot w:val="00BA429E"/>
    <w:rsid w:val="00011790"/>
    <w:rsid w:val="00033FAF"/>
    <w:rsid w:val="000501B1"/>
    <w:rsid w:val="0005143A"/>
    <w:rsid w:val="00063D62"/>
    <w:rsid w:val="00073602"/>
    <w:rsid w:val="000804CE"/>
    <w:rsid w:val="00086D46"/>
    <w:rsid w:val="000925EC"/>
    <w:rsid w:val="0009587C"/>
    <w:rsid w:val="000B18AC"/>
    <w:rsid w:val="00103647"/>
    <w:rsid w:val="00123DDD"/>
    <w:rsid w:val="00170107"/>
    <w:rsid w:val="0018531B"/>
    <w:rsid w:val="001858A5"/>
    <w:rsid w:val="001926CF"/>
    <w:rsid w:val="00195FE7"/>
    <w:rsid w:val="001B1C94"/>
    <w:rsid w:val="001B299F"/>
    <w:rsid w:val="001C1BAB"/>
    <w:rsid w:val="001D666B"/>
    <w:rsid w:val="001D7728"/>
    <w:rsid w:val="00201562"/>
    <w:rsid w:val="002173C9"/>
    <w:rsid w:val="0024412C"/>
    <w:rsid w:val="00254EE4"/>
    <w:rsid w:val="0025544A"/>
    <w:rsid w:val="00271EC9"/>
    <w:rsid w:val="002C0A3B"/>
    <w:rsid w:val="002D649E"/>
    <w:rsid w:val="002E41C2"/>
    <w:rsid w:val="003025BE"/>
    <w:rsid w:val="00313FED"/>
    <w:rsid w:val="003262D9"/>
    <w:rsid w:val="00343687"/>
    <w:rsid w:val="00345D36"/>
    <w:rsid w:val="003C0ABC"/>
    <w:rsid w:val="003E1D28"/>
    <w:rsid w:val="003E4B57"/>
    <w:rsid w:val="003E557F"/>
    <w:rsid w:val="003E634D"/>
    <w:rsid w:val="00425379"/>
    <w:rsid w:val="00426F93"/>
    <w:rsid w:val="00457D5C"/>
    <w:rsid w:val="0048718D"/>
    <w:rsid w:val="004A63D8"/>
    <w:rsid w:val="004B46D0"/>
    <w:rsid w:val="004C0FE3"/>
    <w:rsid w:val="004C581E"/>
    <w:rsid w:val="004E016A"/>
    <w:rsid w:val="00501947"/>
    <w:rsid w:val="00522A6E"/>
    <w:rsid w:val="00546326"/>
    <w:rsid w:val="005544FD"/>
    <w:rsid w:val="00556195"/>
    <w:rsid w:val="005621F6"/>
    <w:rsid w:val="00571D66"/>
    <w:rsid w:val="0057350F"/>
    <w:rsid w:val="0057653B"/>
    <w:rsid w:val="005767AA"/>
    <w:rsid w:val="005D71B4"/>
    <w:rsid w:val="005E286A"/>
    <w:rsid w:val="005F09CA"/>
    <w:rsid w:val="00633653"/>
    <w:rsid w:val="00650C0A"/>
    <w:rsid w:val="00666163"/>
    <w:rsid w:val="006724FC"/>
    <w:rsid w:val="006B2814"/>
    <w:rsid w:val="006C39DD"/>
    <w:rsid w:val="006C6838"/>
    <w:rsid w:val="006D1066"/>
    <w:rsid w:val="006D5EDC"/>
    <w:rsid w:val="006E4665"/>
    <w:rsid w:val="006E509A"/>
    <w:rsid w:val="006F1D70"/>
    <w:rsid w:val="00700ED2"/>
    <w:rsid w:val="00765E57"/>
    <w:rsid w:val="00767988"/>
    <w:rsid w:val="007733F2"/>
    <w:rsid w:val="007A3978"/>
    <w:rsid w:val="007B7E93"/>
    <w:rsid w:val="007B7EE4"/>
    <w:rsid w:val="007E5B47"/>
    <w:rsid w:val="00820A19"/>
    <w:rsid w:val="00821602"/>
    <w:rsid w:val="00834C43"/>
    <w:rsid w:val="008529EE"/>
    <w:rsid w:val="00852ACD"/>
    <w:rsid w:val="0087190F"/>
    <w:rsid w:val="008912AF"/>
    <w:rsid w:val="008926CF"/>
    <w:rsid w:val="0089436A"/>
    <w:rsid w:val="008961A9"/>
    <w:rsid w:val="008E3539"/>
    <w:rsid w:val="008F0F23"/>
    <w:rsid w:val="009043F6"/>
    <w:rsid w:val="009127E6"/>
    <w:rsid w:val="00915C5C"/>
    <w:rsid w:val="00934FD2"/>
    <w:rsid w:val="00954810"/>
    <w:rsid w:val="009B694D"/>
    <w:rsid w:val="009D1B49"/>
    <w:rsid w:val="00A215E4"/>
    <w:rsid w:val="00A26F42"/>
    <w:rsid w:val="00A52C2D"/>
    <w:rsid w:val="00AD5BF9"/>
    <w:rsid w:val="00B46535"/>
    <w:rsid w:val="00B53AD8"/>
    <w:rsid w:val="00B95F08"/>
    <w:rsid w:val="00BA0628"/>
    <w:rsid w:val="00BA429E"/>
    <w:rsid w:val="00BA709D"/>
    <w:rsid w:val="00BC66AD"/>
    <w:rsid w:val="00BE3153"/>
    <w:rsid w:val="00BE37CF"/>
    <w:rsid w:val="00BF06B4"/>
    <w:rsid w:val="00BF63D0"/>
    <w:rsid w:val="00BF71F3"/>
    <w:rsid w:val="00C95E15"/>
    <w:rsid w:val="00CA17F6"/>
    <w:rsid w:val="00CA3C98"/>
    <w:rsid w:val="00CB19C8"/>
    <w:rsid w:val="00CB33D0"/>
    <w:rsid w:val="00CC5135"/>
    <w:rsid w:val="00CD532E"/>
    <w:rsid w:val="00CD72C4"/>
    <w:rsid w:val="00CD76F3"/>
    <w:rsid w:val="00CE7495"/>
    <w:rsid w:val="00CF6073"/>
    <w:rsid w:val="00CF6215"/>
    <w:rsid w:val="00D136AE"/>
    <w:rsid w:val="00D62315"/>
    <w:rsid w:val="00D71E7F"/>
    <w:rsid w:val="00D835AB"/>
    <w:rsid w:val="00D87D24"/>
    <w:rsid w:val="00D96D8F"/>
    <w:rsid w:val="00D96DFB"/>
    <w:rsid w:val="00DA3333"/>
    <w:rsid w:val="00DE575D"/>
    <w:rsid w:val="00E25493"/>
    <w:rsid w:val="00E453CE"/>
    <w:rsid w:val="00E4715C"/>
    <w:rsid w:val="00E61DFE"/>
    <w:rsid w:val="00E756ED"/>
    <w:rsid w:val="00E8112B"/>
    <w:rsid w:val="00EB4923"/>
    <w:rsid w:val="00EB73EE"/>
    <w:rsid w:val="00EC0D8D"/>
    <w:rsid w:val="00EF5366"/>
    <w:rsid w:val="00F023C0"/>
    <w:rsid w:val="00F101EB"/>
    <w:rsid w:val="00F30600"/>
    <w:rsid w:val="00F44B3B"/>
    <w:rsid w:val="00F66573"/>
    <w:rsid w:val="00F807E5"/>
    <w:rsid w:val="00F92D9B"/>
    <w:rsid w:val="00FB0284"/>
    <w:rsid w:val="00FB07DD"/>
    <w:rsid w:val="00FC7B17"/>
    <w:rsid w:val="00FD1898"/>
    <w:rsid w:val="00FD33A9"/>
    <w:rsid w:val="00FD6932"/>
    <w:rsid w:val="0E745939"/>
    <w:rsid w:val="10240C99"/>
    <w:rsid w:val="110A5DAA"/>
    <w:rsid w:val="17744238"/>
    <w:rsid w:val="1E8B460E"/>
    <w:rsid w:val="1F967D60"/>
    <w:rsid w:val="226E653E"/>
    <w:rsid w:val="2C2C05D4"/>
    <w:rsid w:val="31803AA9"/>
    <w:rsid w:val="31E50DCC"/>
    <w:rsid w:val="3EC66555"/>
    <w:rsid w:val="412344D1"/>
    <w:rsid w:val="43126002"/>
    <w:rsid w:val="495913D8"/>
    <w:rsid w:val="6720471F"/>
    <w:rsid w:val="68AA7558"/>
    <w:rsid w:val="72833651"/>
    <w:rsid w:val="73AD7AA7"/>
    <w:rsid w:val="745D327B"/>
    <w:rsid w:val="7EF2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B991301-B6EA-4863-8104-CAC004FD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1"/>
    <w:qFormat/>
    <w:pPr>
      <w:keepNext/>
      <w:keepLines/>
      <w:spacing w:before="260" w:after="260" w:line="413" w:lineRule="auto"/>
      <w:outlineLvl w:val="1"/>
    </w:pPr>
    <w:rPr>
      <w:rFonts w:ascii="Arial" w:eastAsia="黑体" w:hAnsi="Arial" w:cs="Times New Roman"/>
      <w:b/>
      <w:snapToGrid w:val="0"/>
      <w:kern w:val="4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link w:val="a4"/>
    <w:qFormat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1">
    <w:name w:val="标题 2 字符1"/>
    <w:link w:val="2"/>
    <w:qFormat/>
    <w:rPr>
      <w:rFonts w:ascii="Arial" w:eastAsia="黑体" w:hAnsi="Arial" w:cs="Times New Roman"/>
      <w:b/>
      <w:snapToGrid w:val="0"/>
      <w:kern w:val="44"/>
      <w:sz w:val="28"/>
    </w:rPr>
  </w:style>
  <w:style w:type="character" w:customStyle="1" w:styleId="a4">
    <w:name w:val="正文缩进 字符"/>
    <w:link w:val="a3"/>
    <w:qFormat/>
    <w:rPr>
      <w:rFonts w:ascii="Times New Roman" w:eastAsia="宋体" w:hAnsi="Times New Roman" w:cs="Times New Roman"/>
      <w:kern w:val="2"/>
      <w:sz w:val="21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shca</dc:creator>
  <cp:lastModifiedBy>shca</cp:lastModifiedBy>
  <cp:revision>18</cp:revision>
  <cp:lastPrinted>2026-01-08T08:22:00Z</cp:lastPrinted>
  <dcterms:created xsi:type="dcterms:W3CDTF">2025-11-28T03:40:00Z</dcterms:created>
  <dcterms:modified xsi:type="dcterms:W3CDTF">2026-10-26T08:22:00Z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eyJoZGlkIjoiMGEwNGVjM2Q3MTZkOWY4NGM5NjJjNzJjYjIzZTU2ODAiLCJ1c2VySWQiOiIxNTgzMTgxNjgxIn0=</vt:lpwstr>
  </property>
  <property fmtid="{D5CDD505-2E9C-101B-9397-08002B2CF9AE}" pid="3" name="KSOProductBuildVer">
    <vt:lpwstr>2052-12.1.0.17827</vt:lpwstr>
  </property>
  <property fmtid="{D5CDD505-2E9C-101B-9397-08002B2CF9AE}" pid="4" name="ICV">
    <vt:lpwstr>DF98DB7FCED74B96B0A2E702487C7202_13</vt:lpwstr>
  </property>
</Properties>
</file>